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4,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TRIMAS CORPORATION</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015" w:right="339" w:bottom="1440" w:gutter="0" w:footer="0" w:header="0"/>
        </w:sectPr>
      </w:pPr>
    </w:p>
    <w:p>
      <w:pPr>
        <w:spacing w:after="0" w:line="32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3"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001-10716</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(Commission</w:t>
      </w:r>
    </w:p>
    <w:p>
      <w:pPr>
        <w:spacing w:after="0" w:line="2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38-2687639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360" w:space="720"/>
            <w:col w:w="2980" w:space="720"/>
            <w:col w:w="2460"/>
          </w:cols>
          <w:pgMar w:left="320" w:top="1015" w:right="339" w:bottom="1440" w:gutter="0" w:footer="0" w:header="0"/>
          <w:type w:val="continuous"/>
        </w:sectPr>
      </w:pPr>
    </w:p>
    <w:p>
      <w:pPr>
        <w:spacing w:after="0" w:line="246" w:lineRule="exact"/>
        <w:rPr>
          <w:sz w:val="24"/>
          <w:szCs w:val="24"/>
          <w:color w:val="auto"/>
        </w:rPr>
      </w:pPr>
    </w:p>
    <w:p>
      <w:pPr>
        <w:ind w:left="320"/>
        <w:spacing w:after="0"/>
        <w:tabs>
          <w:tab w:leader="none" w:pos="2760" w:val="left"/>
          <w:tab w:leader="none" w:pos="3880" w:val="left"/>
        </w:tabs>
        <w:rPr>
          <w:sz w:val="20"/>
          <w:szCs w:val="20"/>
          <w:color w:val="auto"/>
        </w:rPr>
      </w:pPr>
      <w:r>
        <w:rPr>
          <w:rFonts w:ascii="Times New Roman" w:cs="Times New Roman" w:eastAsia="Times New Roman" w:hAnsi="Times New Roman"/>
          <w:sz w:val="18"/>
          <w:szCs w:val="18"/>
          <w:b w:val="1"/>
          <w:bCs w:val="1"/>
          <w:color w:val="auto"/>
        </w:rPr>
        <w:t>38505 Woodward Avenue,</w:t>
      </w:r>
      <w:r>
        <w:rPr>
          <w:sz w:val="20"/>
          <w:szCs w:val="20"/>
          <w:color w:val="auto"/>
        </w:rPr>
        <w:tab/>
      </w:r>
      <w:r>
        <w:rPr>
          <w:rFonts w:ascii="Times New Roman" w:cs="Times New Roman" w:eastAsia="Times New Roman" w:hAnsi="Times New Roman"/>
          <w:sz w:val="18"/>
          <w:szCs w:val="18"/>
          <w:b w:val="1"/>
          <w:bCs w:val="1"/>
          <w:color w:val="auto"/>
        </w:rPr>
        <w:t>Suite 200,</w:t>
      </w:r>
      <w:r>
        <w:rPr>
          <w:sz w:val="20"/>
          <w:szCs w:val="20"/>
          <w:color w:val="auto"/>
        </w:rPr>
        <w:tab/>
      </w:r>
      <w:r>
        <w:rPr>
          <w:rFonts w:ascii="Times New Roman" w:cs="Times New Roman" w:eastAsia="Times New Roman" w:hAnsi="Times New Roman"/>
          <w:sz w:val="17"/>
          <w:szCs w:val="17"/>
          <w:b w:val="1"/>
          <w:bCs w:val="1"/>
          <w:color w:val="auto"/>
        </w:rPr>
        <w:t>Bloomfield Hills,</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2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48304</w:t>
      </w:r>
    </w:p>
    <w:p>
      <w:pPr>
        <w:spacing w:after="0" w:line="256"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color w:val="auto"/>
        </w:rPr>
        <w:t>(Zip Code)</w:t>
      </w:r>
    </w:p>
    <w:p>
      <w:pPr>
        <w:spacing w:after="0" w:line="204" w:lineRule="exact"/>
        <w:rPr>
          <w:sz w:val="24"/>
          <w:szCs w:val="24"/>
          <w:color w:val="auto"/>
        </w:rPr>
      </w:pPr>
    </w:p>
    <w:p>
      <w:pPr>
        <w:sectPr>
          <w:pgSz w:w="11900" w:h="16838" w:orient="portrait"/>
          <w:cols w:equalWidth="0" w:num="2">
            <w:col w:w="7360" w:space="720"/>
            <w:col w:w="3160"/>
          </w:cols>
          <w:pgMar w:left="320" w:top="1015" w:right="339" w:bottom="1440" w:gutter="0" w:footer="0" w:header="0"/>
          <w:type w:val="continuous"/>
        </w:sectPr>
      </w:pP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(248) 631-5450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8"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4"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8"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97"/>
        </w:trPr>
        <w:tc>
          <w:tcPr>
            <w:tcW w:w="1620" w:type="dxa"/>
            <w:vAlign w:val="bottom"/>
          </w:tcPr>
          <w:p>
            <w:pPr>
              <w:spacing w:after="0"/>
              <w:rPr>
                <w:sz w:val="24"/>
                <w:szCs w:val="24"/>
                <w:color w:val="auto"/>
              </w:rPr>
            </w:pPr>
          </w:p>
        </w:tc>
        <w:tc>
          <w:tcPr>
            <w:tcW w:w="338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5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0"/>
        </w:trPr>
        <w:tc>
          <w:tcPr>
            <w:tcW w:w="16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500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56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color w:val="auto"/>
                <w:w w:val="96"/>
              </w:rPr>
              <w:t>TRS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19"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3" w:lineRule="exact"/>
        <w:rPr>
          <w:sz w:val="24"/>
          <w:szCs w:val="24"/>
          <w:color w:val="auto"/>
        </w:rPr>
      </w:pPr>
    </w:p>
    <w:p>
      <w:pPr>
        <w:ind w:left="7180"/>
        <w:spacing w:after="0" w:line="207" w:lineRule="exact"/>
        <w:tabs>
          <w:tab w:leader="none" w:pos="98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200" w:lineRule="exact"/>
        <w:rPr>
          <w:sz w:val="24"/>
          <w:szCs w:val="24"/>
          <w:color w:val="auto"/>
        </w:rPr>
      </w:pPr>
    </w:p>
    <w:p>
      <w:pPr>
        <w:spacing w:after="0" w:line="231"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TriMas Corporation (the “Company”) issued a press release on November 4, 2024, reporting its financial results for the third quarter ending September 30, 2024. A copy of the press release is attached hereto as Exhibit 99.1 and is incorporated herein by reference. The press release is also available on the Corporation's website at </w:t>
      </w:r>
      <w:r>
        <w:rPr>
          <w:rFonts w:ascii="Times New Roman" w:cs="Times New Roman" w:eastAsia="Times New Roman" w:hAnsi="Times New Roman"/>
          <w:sz w:val="18"/>
          <w:szCs w:val="18"/>
          <w:u w:val="single" w:color="auto"/>
          <w:color w:val="0000FF"/>
        </w:rPr>
        <w:t>www.trimascorp.com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presented in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(the "Securities Act") or the Exchange Act.</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299"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following exhibits are furnished herewith:</w:t>
      </w:r>
    </w:p>
    <w:p>
      <w:pPr>
        <w:spacing w:after="0" w:line="144"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20" w:type="dxa"/>
            <w:vAlign w:val="bottom"/>
          </w:tcPr>
          <w:p>
            <w:pPr>
              <w:spacing w:after="0"/>
              <w:rPr>
                <w:sz w:val="20"/>
                <w:szCs w:val="20"/>
                <w:color w:val="auto"/>
              </w:rPr>
            </w:pPr>
          </w:p>
        </w:tc>
        <w:tc>
          <w:tcPr>
            <w:tcW w:w="816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Description</w:t>
            </w:r>
          </w:p>
        </w:tc>
      </w:tr>
      <w:tr>
        <w:trPr>
          <w:trHeight w:val="439"/>
        </w:trPr>
        <w:tc>
          <w:tcPr>
            <w:tcW w:w="1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880" w:type="dxa"/>
            <w:vAlign w:val="bottom"/>
            <w:tcBorders>
              <w:top w:val="single" w:sz="8" w:color="auto"/>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4, 2024, reporting financial results for the quarter ended September 30, 2024.</w:t>
            </w:r>
          </w:p>
        </w:tc>
        <w:tc>
          <w:tcPr>
            <w:tcW w:w="280" w:type="dxa"/>
            <w:vAlign w:val="bottom"/>
            <w:tcBorders>
              <w:top w:val="single" w:sz="8" w:color="auto"/>
            </w:tcBorders>
          </w:tcPr>
          <w:p>
            <w:pPr>
              <w:spacing w:after="0"/>
              <w:rPr>
                <w:sz w:val="24"/>
                <w:szCs w:val="24"/>
                <w:color w:val="auto"/>
              </w:rPr>
            </w:pPr>
          </w:p>
        </w:tc>
      </w:tr>
      <w:tr>
        <w:trPr>
          <w:trHeight w:val="25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File (embedded within the Inline XBRL document).</w:t>
            </w:r>
          </w:p>
        </w:tc>
      </w:tr>
    </w:tbl>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TRIMAS CORPORATION</w:t>
            </w:r>
          </w:p>
        </w:tc>
      </w:tr>
      <w:tr>
        <w:trPr>
          <w:trHeight w:val="499"/>
        </w:trPr>
        <w:tc>
          <w:tcPr>
            <w:tcW w:w="19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w w:val="99"/>
              </w:rPr>
              <w:t>November 4, 2024</w:t>
            </w: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A. Mell</w:t>
            </w:r>
          </w:p>
        </w:tc>
      </w:tr>
      <w:tr>
        <w:trPr>
          <w:trHeight w:val="218"/>
        </w:trPr>
        <w:tc>
          <w:tcPr>
            <w:tcW w:w="1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A. Mell</w:t>
            </w:r>
          </w:p>
        </w:tc>
      </w:tr>
      <w:tr>
        <w:trPr>
          <w:trHeight w:val="234"/>
        </w:trPr>
        <w:tc>
          <w:tcPr>
            <w:tcW w:w="1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42"/>
        </w:trPr>
        <w:tc>
          <w:tcPr>
            <w:tcW w:w="194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4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ectPr>
          <w:pgSz w:w="11900" w:h="16838" w:orient="portrait"/>
          <w:cols w:equalWidth="0" w:num="1">
            <w:col w:w="11240"/>
          </w:cols>
          <w:pgMar w:left="320" w:top="887"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144843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TRIMAS REPORTS THIRD QUARTER 2024 RESULTS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Continued Organic Sales Growth in its Two Largest Segments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BLOOMFIELD HILLS, Michigan, November 4, 2024 </w:t>
      </w:r>
      <w:r>
        <w:rPr>
          <w:rFonts w:ascii="Arial" w:cs="Arial" w:eastAsia="Arial" w:hAnsi="Arial"/>
          <w:sz w:val="18"/>
          <w:szCs w:val="18"/>
          <w:color w:val="auto"/>
        </w:rPr>
        <w:t>- TriMas (NASDAQ: TRS) today announced financial results for the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TriMas Third Quarter Highlights</w:t>
      </w:r>
    </w:p>
    <w:p>
      <w:pPr>
        <w:spacing w:after="0" w:line="117"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Achieved core sales growth within its Packaging and Aerospace segments of 12.3% and 4.8%, respectively</w:t>
      </w:r>
    </w:p>
    <w:p>
      <w:pPr>
        <w:spacing w:after="0" w:line="27" w:lineRule="exact"/>
        <w:rPr>
          <w:rFonts w:ascii="Arial" w:cs="Arial" w:eastAsia="Arial" w:hAnsi="Arial"/>
          <w:sz w:val="18"/>
          <w:szCs w:val="18"/>
          <w:color w:val="auto"/>
        </w:rPr>
      </w:pPr>
    </w:p>
    <w:p>
      <w:pPr>
        <w:ind w:left="180" w:hanging="172"/>
        <w:spacing w:after="0" w:line="250"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to experience sales recovery in the beauty &amp; personal care and industrial packaging end markets, which were impacted most in 2023</w:t>
      </w: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Resolved 10-week work stoppage at one of its Aerospace locations, which impacted the quarter</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net shares outstanding by approximately 1.6% year-to-date through common stock repurchases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we are pleased with the core sales growth in our two largest groups, TriMas Packaging and TriMas Aerospace, we believe there is additional upside potential in conversion rates as actions underway are anticipated to deliver further benefits in 2025," said Thomas Amato, TriMas President and Chief Executive Officer. "Within our TriMas Packaging group, we remain highly encouraged by the positive commercial trends and sales momentum, even as we work through discrete challenges associated with product demand increases in certain dispenser product lines. While we have already invested in incremental capacity, which will come online in the fourth quarter and benefit us in 2025, the high rate of demand this quarter, which at times surpassed peak capacity, had a countervailing impact on our third quarter performance. Within our TriMas Aerospace group, we successfully resolved a 10-week work stoppage at one of our manufacturing facilities by entering into a new three-year collective bargaining agreement, although the disruption delayed some sales and related conversion this quarter. With respect to Specialty Products, we are seeing early signs of a recovery from a cyclical demand trough. Importantly, the cost restructuring actions we implemented in the second quarter are now starting to yield positive contributions, albeit on a lower sales base."</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Third Quarter 2024</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TriMas reported third quarter 2024 net sales of $229.4 million, a decrease of 2.5% compared to $235.3 million in third quarter 2023, as organic sales growth in its Packaging and Aerospace segments were more than offset by lower market demand for products in its Specialty Products segment, which experienced a net sales decrease of 44.8% as compared to the prior year quarter. The Company reported operating profit of $8.3 million in third quarter 2024, compared to $ 23.8 million in third quarter 2023. Adjusting for Special Items</w:t>
      </w:r>
      <w:r>
        <w:rPr>
          <w:rFonts w:ascii="Arial" w:cs="Arial" w:eastAsia="Arial" w:hAnsi="Arial"/>
          <w:sz w:val="23"/>
          <w:szCs w:val="23"/>
          <w:color w:val="auto"/>
          <w:vertAlign w:val="superscript"/>
        </w:rPr>
        <w:t>(1)</w:t>
      </w:r>
      <w:r>
        <w:rPr>
          <w:rFonts w:ascii="Arial" w:cs="Arial" w:eastAsia="Arial" w:hAnsi="Arial"/>
          <w:sz w:val="18"/>
          <w:szCs w:val="18"/>
          <w:color w:val="auto"/>
        </w:rPr>
        <w:t>, third quarter 2024 adjusted operating profit was $22.7 million, compared to $27.9 million in the prior year period, as the favorable impact of higher sales volumes in its Packaging and Aerospace segments was offset by the impact of decremental margin from lower sales within Specialty Products, as well as higher conversion costs within one of its Packaging operations related to capacity constraints.</w:t>
      </w:r>
    </w:p>
    <w:p>
      <w:pPr>
        <w:spacing w:after="0" w:line="8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Company reported third quarter 2024 net income of $2.5 million, or $0.06 per diluted share, compared to $16.5 million, or $0.40 per diluted share, in third quarter 2023. Adjusting for Special Items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primarily related to changes in non-cash legacy and environmental liabilities, third-party and other costs related to the work stoppage within the Aerospace segment, business restructuring and severance costs, and information technology system implementation costs, third quarter 2024 adjusted net income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$17.7 million, compared to $26.0 million in third quarter 2023, primarily as a result of lower operating profit attributable to the Specialty Products segment, as noted above, as well as a higher interest expense and effective tax rate in third quarter 2024. Third quarter 2024 adjusted diluted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$0.43, compared to $0.63 in the prior year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Position</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reported net cash provided by operating activities of $22.0 million for third quarter 2024, compared to $31.4 million in third quarter 2023, primarily driven by the year-over-year performance decline within its Specialty Products segment. As a result, the Company reported Free Cash Flow</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$15.4 million for third quarter 2024, compared to $25.2 million in third quarter 2023. Please see Appendix I for further details.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44" w:lineRule="auto"/>
        <w:rPr>
          <w:sz w:val="20"/>
          <w:szCs w:val="20"/>
          <w:color w:val="auto"/>
        </w:rPr>
      </w:pPr>
      <w:r>
        <w:rPr>
          <w:rFonts w:ascii="Arial" w:cs="Arial" w:eastAsia="Arial" w:hAnsi="Arial"/>
          <w:sz w:val="18"/>
          <w:szCs w:val="18"/>
          <w:color w:val="auto"/>
        </w:rPr>
        <w:t>TriMas ended third quarter 2024 with $26.9 million of cash on hand, $210.2 million of cash and available borrowing capacity under its revolving credit facility, and a net leverage ratio of 2.8x as defined in the Company's credit agreement. As of September 30, 2024, TriMas reported total debt of $ 410.0 and Net Debt</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of $383.0 million. The Company continues to maintain a strong balance sheet and remains committed to its capital allocation strategy of investing in its businesses, returning capital to shareholders through both share buybacks and dividends, and augmenting organic growth through programmatic bolt-on acquisitions focused on building out its packaging and aerospace platforms.</w:t>
      </w:r>
    </w:p>
    <w:p>
      <w:pPr>
        <w:spacing w:after="0" w:line="8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During the first nine months of 2024, the Company repurchased 771,067 shares of its outstanding common stock for $19.3 million, further reducing net shares outstanding by approximately 1.6%. As of September 30, 2024, the Company had $67.6 million remaining under the</w:t>
      </w:r>
    </w:p>
    <w:p>
      <w:pPr>
        <w:spacing w:after="0" w:line="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repurchase authorization. TriMas also paid a quarterly cash dividend of $0.04 per share of TriMas Corporation stock in third quarter 2024, as well as declared a $0.04 per share dividend to be payable on November 12,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Segment Results</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TriMas Packaging group's net sales for the third quarter were $130.2 million, an increase of 11.8% compared to the year ago period, primarily due to organic growth within the beauty &amp; personal care, food &amp; beverage, industrial and home care end markets. Third quarter operating profit margin and the related percentage were lower than the prior year period, primarily on account of allocated information technology costs and off-standard costs due to high demand for certain dispenser product lines as customer demand has begun to revert from the prior year levels. Despite these differences as compared to the prior year quarter, TriMas Packaging's adjusted operating profit margin for the third quarter improved by approximately 60 basis points compared to the conversion rate of second quarter 2024. The Company continues to invest in product design and innovation, and global capacity, to accelerate organic growth within its TriMas Packaging group.</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TriMas Aerospace group's net sales for the third quarter were $70.8 million, an increase of 4.8% compared to the year ago period, driven by stronger demand, despite delayed shipments from a 10-week work stoppage at one of its fastener manufacturing locations, which has since been resolved. Third quarter operating profit increased, and the related adjusted margin percentage remained flat, as completed operational excellence initiatives and commercial improvements were offset by the impact of reduced sales and related profits resulting from the work stoppage. The Company remains focused on continuing to expand its product offering across its existing customer base, and investing in capacity in certain operations through equipment and skilled labor, all to further enhance conversion on anticipated continued long-term demand trends.</w:t>
      </w:r>
    </w:p>
    <w:p>
      <w:pPr>
        <w:spacing w:after="0" w:line="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Specialty Products' net sales for the third quarter were $28.3 million, a decrease of 44.8% compared to the year ago period. Third quarter operating profit and the related margin percentage decreased as a result of the demand rate decline and related lower absorption of structural costs, even after recent cost reduction actions. Despite these differences as compared to the prior year quarter, Specialty Products' adjusted operating profit for the third quarter improved approximately 660 basis points when compared to the conversion rate of second quarter 2024, as a result of the cost reduction actions implemented during second quarter 2024. In addition, as previously disclosed, the Company has initiated a sale process for its Arrow Engine business, which when successfully completed, would facilitate an exit of its presence in the oil and gas end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11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 reaffirms its full year 2024 outlook provided on July 30, 2024. The Company expects to generate full year 2024 adjusted diluted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in the range of $1.70 to $1.90.</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"As we near the completion of 2024, we expect that the return of one of our aerospace facilities to full shift production rates, ongoing efficiency improvements within one of our packaging facilities and continued cost containment within our Specialty Products segment will benefit us in the fourth quarter. These developments should not only help us to meet our outlook range for the year, but also, more</w:t>
      </w:r>
    </w:p>
    <w:p>
      <w:pPr>
        <w:jc w:val="both"/>
        <w:spacing w:after="0" w:line="268" w:lineRule="auto"/>
        <w:rPr>
          <w:sz w:val="20"/>
          <w:szCs w:val="20"/>
          <w:color w:val="auto"/>
        </w:rPr>
      </w:pPr>
      <w:r>
        <w:rPr>
          <w:rFonts w:ascii="Arial" w:cs="Arial" w:eastAsia="Arial" w:hAnsi="Arial"/>
          <w:sz w:val="18"/>
          <w:szCs w:val="18"/>
          <w:color w:val="auto"/>
        </w:rPr>
        <w:t>importantly, further improve our momentum as we enter 2025. We are encouraged by the sequential performance improvements we are experiencing across all of our businesses, on a normalized basis, and are excited about the promising core growth prospects within the TriMas portfolio as we look ahead," concluded Amato.</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above outlook includes the impact of all announced acquisitions, but does not contemplate any impact from a prolonged work stoppage at any of the Company's customers. As previously communicated, effective as of the first quarter of 2024, the Company is adding back non-cash compensation expense to its adjusted diluted earnings per share calculation. The outlook provided assumes no detrimental impact related to input costs or end market demand associated with escalating global conflicts. All of the above amounts considered as 2024</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98" w:right="3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guidance are after adjusting for any current or future amounts that may be considered Special Items, and in the case of adjusted diluted earnings per share, acquisition-related intangible asset amortization expense for deals that have not yet been consummated. The inability to predict the amount and timing of the impacts of these Special Items makes a detailed reconciliation of these forward-looking non-GAAP financial measures impracticable.</w:t>
      </w:r>
      <w:r>
        <w:rPr>
          <w:rFonts w:ascii="Arial" w:cs="Arial" w:eastAsia="Arial" w:hAnsi="Arial"/>
          <w:sz w:val="23"/>
          <w:szCs w:val="23"/>
          <w:color w:val="auto"/>
          <w:vertAlign w:val="superscript"/>
        </w:rPr>
        <w:t>(1)</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TriMas will host its third quarter 2024 earnings conference call today, Monday, November 4, 2024, at 10 a.m. ET. To participate via phone, please dial (877) 407-0890 (U.S. and Canada) or +1 (201) 389-0918 (outside the U.S. and Canada), and ask to be connected to the TriMas Corporation third quarter 2024 earnings conference call. The conference call will also be simultaneously webcast via the TriMas website at </w:t>
      </w:r>
      <w:r>
        <w:rPr>
          <w:rFonts w:ascii="Arial" w:cs="Arial" w:eastAsia="Arial" w:hAnsi="Arial"/>
          <w:sz w:val="18"/>
          <w:szCs w:val="18"/>
          <w:u w:val="single" w:color="auto"/>
          <w:color w:val="0000FF"/>
        </w:rPr>
        <w:t>www.trimas.com</w:t>
      </w:r>
      <w:r>
        <w:rPr>
          <w:rFonts w:ascii="Arial" w:cs="Arial" w:eastAsia="Arial" w:hAnsi="Arial"/>
          <w:sz w:val="18"/>
          <w:szCs w:val="18"/>
          <w:color w:val="000000"/>
        </w:rPr>
        <w:t>, under the "Investors" section, with an accompanying slide presentation. A replay of the conference call will be available on</w:t>
      </w:r>
      <w:r>
        <w:rPr>
          <w:rFonts w:ascii="Arial" w:cs="Arial" w:eastAsia="Arial" w:hAnsi="Arial"/>
          <w:sz w:val="18"/>
          <w:szCs w:val="18"/>
          <w:color w:val="0000FF"/>
        </w:rPr>
        <w:t xml:space="preserve"> </w:t>
      </w:r>
      <w:r>
        <w:rPr>
          <w:rFonts w:ascii="Arial" w:cs="Arial" w:eastAsia="Arial" w:hAnsi="Arial"/>
          <w:sz w:val="18"/>
          <w:szCs w:val="18"/>
          <w:color w:val="000000"/>
        </w:rPr>
        <w:t>the TriMas website or by dialing (877) 660-6853 (U.S. and Canada) or +1 (201) 612-7415 (outside the U.S. and Canada) with a meeting ID of 13749560, beginning November 4, 2024, at 3:00 p.m. ET through November 18, 2024, at 3:00 p.m. 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Notice Regarding Forward-Looking Statements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"forward-looking" statements, within the meaning of Section 27A of the Securities Act of 1933 and Section 21E of the Securities Exchange Act of 1934, contained herein, including those relating to TriMas’ business, financial condition or future results, involve risks and uncertainties with respect to, including, but not limited to: general economic and currency conditions;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our ability to successfully complete the sale of our Arrow Engine business; and other risks that are detailed in the Company's Annual Report on Form 10-K for the fiscal year ended December 31, 2023. The risks described are not the only risks facing our Company. Additional risks and uncertainties not currently known to us or that we currently deemed to be immaterial also may materially adversely affect our business, financial position and results of operations or cash flows. These risks and uncertainties may cause actual results to differ materially from those indicated by the forward-looking statements. All forward -looking statements made herein are based on information currently available, and the Company assumes no obligation to update any forward-looking statements, except as required by law.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release, certain non-GAAP financial measures are used. Reconciliations of these non-GAAP financial measures to the most directly comparable GAAP financial measure may be found in Appendix I at the end of this release. Management believes that presenting these non-GAAP financial measures provides useful information to investors by helping them identify underlying trends in the Company’s businesses and facilitating comparisons of performance with prior and future periods and to the Company’s peers. These non-GAAP financial measures should be considered in addition to, and not as a replacement for or superior to, the comparable GAAP measure, and may not be comparable to similarly titled measures reported by other companies.</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Reconciliations of forward-looking non-GAAP financial measures to the most directly comparable GAAP financial measures are provided only for the expected impact of amortization of acquisition-related intangible assets for completed acquisitions, as the Company is unable to provide estimates of future Special Items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or amortization from future acquisitions without unreasonable effort, due to the uncertainty and inherent difficulty of predicting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998" w:right="33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8"/>
          <w:szCs w:val="18"/>
          <w:color w:val="auto"/>
        </w:rPr>
        <w:t>occurrence and the financial impact of such items impacting comparability and the periods in which such items may be recognized. For the same reasons, the Company is unable to address the probable significance of the unavailable information, which could be material to future results.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is available at </w:t>
      </w:r>
      <w:r>
        <w:rPr>
          <w:rFonts w:ascii="Arial" w:cs="Arial" w:eastAsia="Arial" w:hAnsi="Arial"/>
          <w:sz w:val="18"/>
          <w:szCs w:val="18"/>
          <w:u w:val="single" w:color="auto"/>
          <w:color w:val="0000FF"/>
        </w:rPr>
        <w:t>www.trimas.com</w:t>
      </w:r>
      <w:r>
        <w:rPr>
          <w:rFonts w:ascii="Arial" w:cs="Arial" w:eastAsia="Arial" w:hAnsi="Arial"/>
          <w:sz w:val="18"/>
          <w:szCs w:val="18"/>
          <w:color w:val="auto"/>
        </w:rPr>
        <w:t xml:space="preserve"> under the “Investors” section.</w:t>
      </w:r>
    </w:p>
    <w:p>
      <w:pPr>
        <w:spacing w:after="0" w:line="122" w:lineRule="exact"/>
        <w:rPr>
          <w:sz w:val="20"/>
          <w:szCs w:val="20"/>
          <w:color w:val="auto"/>
        </w:rPr>
      </w:pPr>
    </w:p>
    <w:p>
      <w:pPr>
        <w:ind w:left="340" w:hanging="332"/>
        <w:spacing w:after="0" w:line="258" w:lineRule="auto"/>
        <w:tabs>
          <w:tab w:leader="none" w:pos="174"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Appendix I details certain costs, expenses and other amounts or charges, collectively described as "Special Items," that are included in the determination of net income, earnings per share and/or cash flows from operating activities under GAAP, but that management believes should be separately considered when evaluating the quality of the Company’s core operating results, given they may not reflect the ongoing activities of the business.</w:t>
      </w:r>
    </w:p>
    <w:p>
      <w:pPr>
        <w:spacing w:after="0" w:line="70" w:lineRule="exact"/>
        <w:rPr>
          <w:rFonts w:ascii="Arial" w:cs="Arial" w:eastAsia="Arial" w:hAnsi="Arial"/>
          <w:sz w:val="20"/>
          <w:szCs w:val="20"/>
          <w:color w:val="auto"/>
          <w:vertAlign w:val="superscript"/>
        </w:rPr>
      </w:pPr>
    </w:p>
    <w:p>
      <w:pPr>
        <w:jc w:val="both"/>
        <w:ind w:left="340" w:hanging="332"/>
        <w:spacing w:after="0" w:line="237" w:lineRule="auto"/>
        <w:tabs>
          <w:tab w:leader="none" w:pos="382"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 defines adjusted net income (and on a per diluted share basis, adjusted diluted earnings per share) as net income (per GAAP), plus or minus the after-tax impact of Special Items</w:t>
      </w:r>
      <w:r>
        <w:rPr>
          <w:rFonts w:ascii="Arial" w:cs="Arial" w:eastAsia="Arial" w:hAnsi="Arial"/>
          <w:sz w:val="21"/>
          <w:szCs w:val="21"/>
          <w:color w:val="auto"/>
          <w:vertAlign w:val="superscript"/>
        </w:rPr>
        <w:t>(1)</w:t>
      </w:r>
      <w:r>
        <w:rPr>
          <w:rFonts w:ascii="Arial" w:cs="Arial" w:eastAsia="Arial" w:hAnsi="Arial"/>
          <w:sz w:val="16"/>
          <w:szCs w:val="16"/>
          <w:color w:val="auto"/>
        </w:rPr>
        <w:t>, plus the after-tax impacts of non-cash acquisition-related intangible asset amortization and non-cash compensation expense. While the acquisition-related intangible assets aid in the Company’s revenue generation, the Company adjusts for the non-cash amortization expense and non-cash compensation expense because the Company believes it (i) enhances management’s and investors’ ability to analyze underlying business performance, (ii) facilitates comparisons of financial results over multiple periods, and (iii) provides more relevant comparisons of financial results with the results of other companies as the amortization expense associated with these assets may fluctuate significantly from period to period based on the timing, size, nature, and number of acquisitions.</w:t>
      </w:r>
    </w:p>
    <w:p>
      <w:pPr>
        <w:spacing w:after="0" w:line="86" w:lineRule="exact"/>
        <w:rPr>
          <w:rFonts w:ascii="Arial" w:cs="Arial" w:eastAsia="Arial" w:hAnsi="Arial"/>
          <w:sz w:val="21"/>
          <w:szCs w:val="21"/>
          <w:color w:val="auto"/>
          <w:vertAlign w:val="superscript"/>
        </w:rPr>
      </w:pPr>
    </w:p>
    <w:p>
      <w:pPr>
        <w:ind w:left="340" w:right="20" w:hanging="332"/>
        <w:spacing w:after="0" w:line="227" w:lineRule="auto"/>
        <w:tabs>
          <w:tab w:leader="none" w:pos="289"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Company defines Free Cash Flow as Net Cash Provided by/Used for Operating Activities, excluding the cash impact of Special Items, less Capital Expenditures. Please see Appendix I for additional details.</w:t>
      </w:r>
    </w:p>
    <w:p>
      <w:pPr>
        <w:spacing w:after="0" w:line="97" w:lineRule="exact"/>
        <w:rPr>
          <w:rFonts w:ascii="Arial" w:cs="Arial" w:eastAsia="Arial" w:hAnsi="Arial"/>
          <w:sz w:val="21"/>
          <w:szCs w:val="21"/>
          <w:color w:val="auto"/>
          <w:vertAlign w:val="superscript"/>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Company defines Net Debt as Total Debt less Cash and Cash Equivalents. Please see Appendix I for additional details.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TriMas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TriMas manufactures a diverse set of products primarily for the consumer products, aerospace and industrial markets through its TriMas Packaging, TriMas Aerospace and Specialty Products groups. Our approximately 3,400 dedicated employees in 13 countries provide customers with a wide range of innovative and quality product solutions through our market-leading businesses. Our TriMas family of businesses has strong brand names in the markets served, and operates under a common set of values and strategic priorities under the TriMas Business Model. TriMas is publicly traded on the NASDAQ under the ticker symbol “TRS,” and is headquartered in Bloomfield Hills,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Michigan. For more information, please visit </w:t>
      </w:r>
      <w:r>
        <w:rPr>
          <w:rFonts w:ascii="Arial" w:cs="Arial" w:eastAsia="Arial" w:hAnsi="Arial"/>
          <w:sz w:val="18"/>
          <w:szCs w:val="18"/>
          <w:color w:val="0000FF"/>
        </w:rPr>
        <w:t>www.trimas.com</w:t>
      </w:r>
      <w:r>
        <w:rPr>
          <w:rFonts w:ascii="Arial" w:cs="Arial" w:eastAsia="Arial" w:hAnsi="Arial"/>
          <w:sz w:val="21"/>
          <w:szCs w:val="21"/>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Sherry Lauderback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Investor Relations &amp; Communications</w:t>
      </w:r>
    </w:p>
    <w:p>
      <w:pPr>
        <w:ind w:right="8760" w:firstLine="8"/>
        <w:spacing w:after="0" w:line="296" w:lineRule="auto"/>
        <w:tabs>
          <w:tab w:leader="none" w:pos="470" w:val="left"/>
        </w:tabs>
        <w:numPr>
          <w:ilvl w:val="0"/>
          <w:numId w:val="5"/>
        </w:numPr>
        <w:rPr>
          <w:rFonts w:ascii="Arial" w:cs="Arial" w:eastAsia="Arial" w:hAnsi="Arial"/>
          <w:sz w:val="17"/>
          <w:szCs w:val="17"/>
          <w:color w:val="auto"/>
        </w:rPr>
      </w:pPr>
      <w:r>
        <w:rPr>
          <w:rFonts w:ascii="Arial" w:cs="Arial" w:eastAsia="Arial" w:hAnsi="Arial"/>
          <w:sz w:val="17"/>
          <w:szCs w:val="17"/>
          <w:color w:val="auto"/>
        </w:rPr>
        <w:t>631-5506 sherry.lauderback@trimas.com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99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6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209"/>
        </w:trPr>
        <w:tc>
          <w:tcPr>
            <w:tcW w:w="6160" w:type="dxa"/>
            <w:vAlign w:val="bottom"/>
            <w:shd w:val="clear" w:color="auto" w:fill="CCEEFF"/>
          </w:tcPr>
          <w:p>
            <w:pPr>
              <w:ind w:left="274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(unaudited)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34,890</w:t>
            </w: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Receivables, net</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163,260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148,030</w:t>
            </w: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213,880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192,450</w:t>
            </w:r>
          </w:p>
        </w:tc>
      </w:tr>
      <w:tr>
        <w:trPr>
          <w:trHeight w:val="215"/>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22,010</w:t>
            </w:r>
          </w:p>
        </w:tc>
      </w:tr>
      <w:tr>
        <w:trPr>
          <w:trHeight w:val="210"/>
        </w:trPr>
        <w:tc>
          <w:tcPr>
            <w:tcW w:w="6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435,340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397,380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329,310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329,990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365,100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363,770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intangibles,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181,020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10,370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10,230</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16,840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w:t>
            </w:r>
          </w:p>
        </w:tc>
      </w:tr>
      <w:tr>
        <w:trPr>
          <w:trHeight w:val="210"/>
        </w:trPr>
        <w:tc>
          <w:tcPr>
            <w:tcW w:w="616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1,367,830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1,341,660</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6160" w:type="dxa"/>
            <w:vAlign w:val="bottom"/>
            <w:shd w:val="clear" w:color="auto" w:fill="CCEEFF"/>
          </w:tcPr>
          <w:p>
            <w:pPr>
              <w:ind w:left="164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borrowings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1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80,800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91,910</w:t>
            </w:r>
          </w:p>
        </w:tc>
      </w:tr>
      <w:tr>
        <w:trPr>
          <w:trHeight w:val="217"/>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65,210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59,640</w:t>
            </w:r>
          </w:p>
        </w:tc>
      </w:tr>
      <w:tr>
        <w:trPr>
          <w:trHeight w:val="215"/>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Lease liabilities, current portion</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7,900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7,900</w:t>
            </w:r>
          </w:p>
        </w:tc>
      </w:tr>
      <w:tr>
        <w:trPr>
          <w:trHeight w:val="210"/>
        </w:trPr>
        <w:tc>
          <w:tcPr>
            <w:tcW w:w="6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153,990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159,450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409,870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395,660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39,690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26,820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23,290</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55,750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40,620</w:t>
            </w:r>
          </w:p>
        </w:tc>
      </w:tr>
      <w:tr>
        <w:trPr>
          <w:trHeight w:val="209"/>
        </w:trPr>
        <w:tc>
          <w:tcPr>
            <w:tcW w:w="616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685,080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658,710</w:t>
            </w:r>
          </w:p>
        </w:tc>
      </w:tr>
      <w:tr>
        <w:trPr>
          <w:trHeight w:val="216"/>
        </w:trPr>
        <w:tc>
          <w:tcPr>
            <w:tcW w:w="6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682,750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682,950</w:t>
            </w:r>
          </w:p>
        </w:tc>
      </w:tr>
      <w:tr>
        <w:trPr>
          <w:trHeight w:val="210"/>
        </w:trPr>
        <w:tc>
          <w:tcPr>
            <w:tcW w:w="6160" w:type="dxa"/>
            <w:vAlign w:val="bottom"/>
          </w:tcPr>
          <w:p>
            <w:pPr>
              <w:ind w:left="46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1,367,830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1,341,660</w:t>
            </w:r>
          </w:p>
        </w:tc>
      </w:tr>
      <w:tr>
        <w:trPr>
          <w:trHeight w:val="21"/>
        </w:trPr>
        <w:tc>
          <w:tcPr>
            <w:tcW w:w="6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200"/>
          </w:cols>
          <w:pgMar w:left="1340" w:top="890" w:right="1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3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3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696,960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683,990</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(177,660)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(179,410)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(538,540)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(525,840)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profit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55,930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158,150</w:t>
            </w:r>
          </w:p>
        </w:tc>
        <w:tc>
          <w:tcPr>
            <w:tcW w:w="0" w:type="dxa"/>
            <w:vAlign w:val="bottom"/>
          </w:tcPr>
          <w:p>
            <w:pPr>
              <w:spacing w:after="0"/>
              <w:rPr>
                <w:sz w:val="1"/>
                <w:szCs w:val="1"/>
                <w:color w:val="auto"/>
              </w:rPr>
            </w:pPr>
          </w:p>
        </w:tc>
      </w:tr>
      <w:tr>
        <w:trPr>
          <w:trHeight w:val="215"/>
        </w:trPr>
        <w:tc>
          <w:tcPr>
            <w:tcW w:w="59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(44,460)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(32,290)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(120,890)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(104,410)</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gain on dispositions of assets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9"/>
        </w:trPr>
        <w:tc>
          <w:tcPr>
            <w:tcW w:w="598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38,570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53,810</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(3,950)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(11,620)</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 expense, net</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42,160</w:t>
            </w: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(9,740)</w:t>
            </w:r>
          </w:p>
        </w:tc>
        <w:tc>
          <w:tcPr>
            <w:tcW w:w="0" w:type="dxa"/>
            <w:vAlign w:val="bottom"/>
          </w:tcPr>
          <w:p>
            <w:pPr>
              <w:spacing w:after="0"/>
              <w:rPr>
                <w:sz w:val="1"/>
                <w:szCs w:val="1"/>
                <w:color w:val="auto"/>
              </w:rPr>
            </w:pPr>
          </w:p>
        </w:tc>
      </w:tr>
      <w:tr>
        <w:trPr>
          <w:trHeight w:val="23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18,610</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32,420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income per share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0.46</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tcPr>
          <w:p>
            <w:pPr>
              <w:ind w:left="360"/>
              <w:spacing w:after="0"/>
              <w:rPr>
                <w:sz w:val="20"/>
                <w:szCs w:val="20"/>
                <w:color w:val="auto"/>
              </w:rPr>
            </w:pPr>
            <w:r>
              <w:rPr>
                <w:rFonts w:ascii="Arial" w:cs="Arial" w:eastAsia="Arial" w:hAnsi="Arial"/>
                <w:sz w:val="16"/>
                <w:szCs w:val="16"/>
                <w:color w:val="auto"/>
              </w:rPr>
              <w:t>Weighted average common shares—basic</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40,612,413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41,425,208</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40,776,583</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41,477,095</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ind w:left="360"/>
              <w:spacing w:after="0"/>
              <w:rPr>
                <w:sz w:val="20"/>
                <w:szCs w:val="20"/>
                <w:color w:val="auto"/>
              </w:rPr>
            </w:pPr>
            <w:r>
              <w:rPr>
                <w:rFonts w:ascii="Arial" w:cs="Arial" w:eastAsia="Arial" w:hAnsi="Arial"/>
                <w:sz w:val="16"/>
                <w:szCs w:val="16"/>
                <w:color w:val="auto"/>
              </w:rPr>
              <w:t>Net income per share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Weighted average common shares—diluted</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40,946,571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41,673,381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41,089,208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41,706,867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125"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Nine months ended</w:t>
      </w:r>
    </w:p>
    <w:p>
      <w:pPr>
        <w:jc w:val="center"/>
        <w:ind w:left="8420"/>
        <w:spacing w:after="0"/>
        <w:rPr>
          <w:sz w:val="20"/>
          <w:szCs w:val="20"/>
          <w:color w:val="auto"/>
        </w:rPr>
      </w:pPr>
      <w:r>
        <w:rPr>
          <w:rFonts w:ascii="Arial" w:cs="Arial" w:eastAsia="Arial" w:hAnsi="Arial"/>
          <w:sz w:val="16"/>
          <w:szCs w:val="16"/>
          <w:b w:val="1"/>
          <w:bCs w:val="1"/>
          <w:color w:val="auto"/>
        </w:rPr>
        <w:t>September 30,</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18,610</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32,420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 net of acquisition impact: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Gain on dispositions of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13,810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issue costs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Provision for losses on accounts receivable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asbestos liability estimate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Change in environmental liability estimate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receivables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(Increase) decrease in inventories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(23,050)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prepaid expenses and other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Decrease in accounts payable and accrued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(10,390)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operating activities, net of acquisition impact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57,570</w:t>
            </w:r>
          </w:p>
        </w:tc>
        <w:tc>
          <w:tcPr>
            <w:tcW w:w="0" w:type="dxa"/>
            <w:vAlign w:val="bottom"/>
          </w:tcPr>
          <w:p>
            <w:pPr>
              <w:spacing w:after="0"/>
              <w:rPr>
                <w:sz w:val="1"/>
                <w:szCs w:val="1"/>
                <w:color w:val="auto"/>
              </w:rPr>
            </w:pPr>
          </w:p>
        </w:tc>
      </w:tr>
      <w:tr>
        <w:trPr>
          <w:trHeight w:val="197"/>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(34,940)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(77,340)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Cross-currency swap terminations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 of foreign currency exchange forward contract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proceeds from disposition of property and equipment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(111,820)</w:t>
            </w:r>
          </w:p>
        </w:tc>
        <w:tc>
          <w:tcPr>
            <w:tcW w:w="0" w:type="dxa"/>
            <w:vAlign w:val="bottom"/>
          </w:tcPr>
          <w:p>
            <w:pPr>
              <w:spacing w:after="0"/>
              <w:rPr>
                <w:sz w:val="1"/>
                <w:szCs w:val="1"/>
                <w:color w:val="auto"/>
              </w:rPr>
            </w:pPr>
          </w:p>
        </w:tc>
      </w:tr>
      <w:tr>
        <w:trPr>
          <w:trHeight w:val="19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74,410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(235,380)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(73,350)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to purchase common stock</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(13,350)</w:t>
            </w:r>
          </w:p>
        </w:tc>
        <w:tc>
          <w:tcPr>
            <w:tcW w:w="0" w:type="dxa"/>
            <w:vAlign w:val="bottom"/>
          </w:tcPr>
          <w:p>
            <w:pPr>
              <w:spacing w:after="0"/>
              <w:rPr>
                <w:sz w:val="1"/>
                <w:szCs w:val="1"/>
                <w:color w:val="auto"/>
              </w:rPr>
            </w:pPr>
          </w:p>
        </w:tc>
      </w:tr>
      <w:tr>
        <w:trPr>
          <w:trHeight w:val="215"/>
        </w:trPr>
        <w:tc>
          <w:tcPr>
            <w:tcW w:w="8420" w:type="dxa"/>
            <w:vAlign w:val="bottom"/>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217"/>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Dividends paid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(5,020)</w:t>
            </w:r>
          </w:p>
        </w:tc>
        <w:tc>
          <w:tcPr>
            <w:tcW w:w="0" w:type="dxa"/>
            <w:vAlign w:val="bottom"/>
          </w:tcPr>
          <w:p>
            <w:pPr>
              <w:spacing w:after="0"/>
              <w:rPr>
                <w:sz w:val="1"/>
                <w:szCs w:val="1"/>
                <w:color w:val="auto"/>
              </w:rPr>
            </w:pPr>
          </w:p>
        </w:tc>
      </w:tr>
      <w:tr>
        <w:trPr>
          <w:trHeight w:val="215"/>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w:t>
            </w:r>
          </w:p>
        </w:tc>
        <w:tc>
          <w:tcPr>
            <w:tcW w:w="0" w:type="dxa"/>
            <w:vAlign w:val="bottom"/>
          </w:tcPr>
          <w:p>
            <w:pPr>
              <w:spacing w:after="0"/>
              <w:rPr>
                <w:sz w:val="1"/>
                <w:szCs w:val="1"/>
                <w:color w:val="auto"/>
              </w:rPr>
            </w:pPr>
          </w:p>
        </w:tc>
      </w:tr>
      <w:tr>
        <w:trPr>
          <w:trHeight w:val="210"/>
        </w:trPr>
        <w:tc>
          <w:tcPr>
            <w:tcW w:w="84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for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(12,800)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(23,180)</w:t>
            </w:r>
          </w:p>
        </w:tc>
        <w:tc>
          <w:tcPr>
            <w:tcW w:w="0" w:type="dxa"/>
            <w:vAlign w:val="bottom"/>
          </w:tcPr>
          <w:p>
            <w:pPr>
              <w:spacing w:after="0"/>
              <w:rPr>
                <w:sz w:val="1"/>
                <w:szCs w:val="1"/>
                <w:color w:val="auto"/>
              </w:rPr>
            </w:pPr>
          </w:p>
        </w:tc>
      </w:tr>
      <w:tr>
        <w:trPr>
          <w:trHeight w:val="19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for the period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(77,430)</w:t>
            </w:r>
          </w:p>
        </w:tc>
        <w:tc>
          <w:tcPr>
            <w:tcW w:w="0" w:type="dxa"/>
            <w:vAlign w:val="bottom"/>
          </w:tcPr>
          <w:p>
            <w:pPr>
              <w:spacing w:after="0"/>
              <w:rPr>
                <w:sz w:val="1"/>
                <w:szCs w:val="1"/>
                <w:color w:val="auto"/>
              </w:rPr>
            </w:pPr>
          </w:p>
        </w:tc>
      </w:tr>
      <w:tr>
        <w:trPr>
          <w:trHeight w:val="215"/>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At beginning of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112,090</w:t>
            </w:r>
          </w:p>
        </w:tc>
        <w:tc>
          <w:tcPr>
            <w:tcW w:w="0" w:type="dxa"/>
            <w:vAlign w:val="bottom"/>
          </w:tcPr>
          <w:p>
            <w:pPr>
              <w:spacing w:after="0"/>
              <w:rPr>
                <w:sz w:val="1"/>
                <w:szCs w:val="1"/>
                <w:color w:val="auto"/>
              </w:rPr>
            </w:pPr>
          </w:p>
        </w:tc>
      </w:tr>
      <w:tr>
        <w:trPr>
          <w:trHeight w:val="235"/>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At end of period</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8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20" w:type="dxa"/>
            <w:vAlign w:val="bottom"/>
          </w:tcPr>
          <w:p>
            <w:pPr>
              <w:ind w:left="340"/>
              <w:spacing w:after="0"/>
              <w:rPr>
                <w:sz w:val="20"/>
                <w:szCs w:val="20"/>
                <w:color w:val="auto"/>
              </w:rPr>
            </w:pPr>
            <w:r>
              <w:rPr>
                <w:rFonts w:ascii="Arial" w:cs="Arial" w:eastAsia="Arial" w:hAnsi="Arial"/>
                <w:sz w:val="16"/>
                <w:szCs w:val="16"/>
                <w:color w:val="auto"/>
              </w:rPr>
              <w:t>Cash paid for taxes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1133" w:right="3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dollars in thousands)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3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3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9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19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Packaging</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5"/>
        </w:trPr>
        <w:tc>
          <w:tcPr>
            <w:tcW w:w="594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130,240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116,500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389,190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350,040</w:t>
            </w:r>
          </w:p>
        </w:tc>
      </w:tr>
      <w:tr>
        <w:trPr>
          <w:trHeight w:val="217"/>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48,140</w:t>
            </w:r>
          </w:p>
        </w:tc>
      </w:tr>
      <w:tr>
        <w:trPr>
          <w:trHeight w:val="215"/>
        </w:trPr>
        <w:tc>
          <w:tcPr>
            <w:tcW w:w="5940" w:type="dxa"/>
            <w:vAlign w:val="bottom"/>
          </w:tcPr>
          <w:p>
            <w:pPr>
              <w:ind w:left="220"/>
              <w:spacing w:after="0"/>
              <w:rPr>
                <w:sz w:val="20"/>
                <w:szCs w:val="20"/>
                <w:color w:val="auto"/>
              </w:rPr>
            </w:pPr>
            <w:r>
              <w:rPr>
                <w:rFonts w:ascii="Arial" w:cs="Arial" w:eastAsia="Arial" w:hAnsi="Arial"/>
                <w:sz w:val="16"/>
                <w:szCs w:val="16"/>
                <w:color w:val="auto"/>
              </w:rPr>
              <w:t>Special Items to consider in evaluating operating profit: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accounting costs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5"/>
        </w:trPr>
        <w:tc>
          <w:tcPr>
            <w:tcW w:w="5940" w:type="dxa"/>
            <w:vAlign w:val="bottom"/>
          </w:tcPr>
          <w:p>
            <w:pPr>
              <w:ind w:left="340"/>
              <w:spacing w:after="0"/>
              <w:rPr>
                <w:sz w:val="20"/>
                <w:szCs w:val="20"/>
                <w:color w:val="auto"/>
              </w:rPr>
            </w:pPr>
            <w:r>
              <w:rPr>
                <w:rFonts w:ascii="Arial" w:cs="Arial" w:eastAsia="Arial" w:hAnsi="Arial"/>
                <w:sz w:val="16"/>
                <w:szCs w:val="16"/>
                <w:color w:val="auto"/>
              </w:rPr>
              <w:t>Business restructuring and severance costs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7,720</w:t>
            </w:r>
          </w:p>
        </w:tc>
      </w:tr>
      <w:tr>
        <w:trPr>
          <w:trHeight w:val="217"/>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Adjusted operating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56,660</w:t>
            </w:r>
          </w:p>
        </w:tc>
      </w:tr>
      <w:tr>
        <w:trPr>
          <w:trHeight w:val="216"/>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Aerospace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594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70,830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67,580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215,890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177,370</w:t>
            </w:r>
          </w:p>
        </w:tc>
      </w:tr>
      <w:tr>
        <w:trPr>
          <w:trHeight w:val="217"/>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11,190</w:t>
            </w:r>
          </w:p>
        </w:tc>
      </w:tr>
      <w:tr>
        <w:trPr>
          <w:trHeight w:val="215"/>
        </w:trPr>
        <w:tc>
          <w:tcPr>
            <w:tcW w:w="5940" w:type="dxa"/>
            <w:vAlign w:val="bottom"/>
          </w:tcPr>
          <w:p>
            <w:pPr>
              <w:ind w:left="220"/>
              <w:spacing w:after="0"/>
              <w:rPr>
                <w:sz w:val="20"/>
                <w:szCs w:val="20"/>
                <w:color w:val="auto"/>
              </w:rPr>
            </w:pPr>
            <w:r>
              <w:rPr>
                <w:rFonts w:ascii="Arial" w:cs="Arial" w:eastAsia="Arial" w:hAnsi="Arial"/>
                <w:sz w:val="16"/>
                <w:szCs w:val="16"/>
                <w:color w:val="auto"/>
              </w:rPr>
              <w:t>Special Items to consider in evaluating operating profit: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Third-party and other costs incurred related to strike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40" w:type="dxa"/>
            <w:vAlign w:val="bottom"/>
          </w:tcPr>
          <w:p>
            <w:pPr>
              <w:ind w:left="340"/>
              <w:spacing w:after="0"/>
              <w:rPr>
                <w:sz w:val="20"/>
                <w:szCs w:val="20"/>
                <w:color w:val="auto"/>
              </w:rPr>
            </w:pPr>
            <w:r>
              <w:rPr>
                <w:rFonts w:ascii="Arial" w:cs="Arial" w:eastAsia="Arial" w:hAnsi="Arial"/>
                <w:sz w:val="16"/>
                <w:szCs w:val="16"/>
                <w:color w:val="auto"/>
              </w:rPr>
              <w:t>M&amp;A diligence and transaction costs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 accounting costs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15"/>
        </w:trPr>
        <w:tc>
          <w:tcPr>
            <w:tcW w:w="5940" w:type="dxa"/>
            <w:vAlign w:val="bottom"/>
          </w:tcPr>
          <w:p>
            <w:pPr>
              <w:ind w:left="340"/>
              <w:spacing w:after="0"/>
              <w:rPr>
                <w:sz w:val="20"/>
                <w:szCs w:val="20"/>
                <w:color w:val="auto"/>
              </w:rPr>
            </w:pPr>
            <w:r>
              <w:rPr>
                <w:rFonts w:ascii="Arial" w:cs="Arial" w:eastAsia="Arial" w:hAnsi="Arial"/>
                <w:sz w:val="16"/>
                <w:szCs w:val="16"/>
                <w:color w:val="auto"/>
              </w:rPr>
              <w:t>Business restructuring and severance costs</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7"/>
        </w:trPr>
        <w:tc>
          <w:tcPr>
            <w:tcW w:w="59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Adjusted operating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13,470</w:t>
            </w:r>
          </w:p>
        </w:tc>
      </w:tr>
      <w:tr>
        <w:trPr>
          <w:trHeight w:val="216"/>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Specialty Products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5"/>
        </w:trPr>
        <w:tc>
          <w:tcPr>
            <w:tcW w:w="594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28,290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51,260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91,880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156,580</w:t>
            </w:r>
          </w:p>
        </w:tc>
      </w:tr>
      <w:tr>
        <w:trPr>
          <w:trHeight w:val="217"/>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profit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32,360</w:t>
            </w:r>
          </w:p>
        </w:tc>
      </w:tr>
      <w:tr>
        <w:trPr>
          <w:trHeight w:val="215"/>
        </w:trPr>
        <w:tc>
          <w:tcPr>
            <w:tcW w:w="5940" w:type="dxa"/>
            <w:vAlign w:val="bottom"/>
          </w:tcPr>
          <w:p>
            <w:pPr>
              <w:ind w:left="220"/>
              <w:spacing w:after="0"/>
              <w:rPr>
                <w:sz w:val="20"/>
                <w:szCs w:val="20"/>
                <w:color w:val="auto"/>
              </w:rPr>
            </w:pPr>
            <w:r>
              <w:rPr>
                <w:rFonts w:ascii="Arial" w:cs="Arial" w:eastAsia="Arial" w:hAnsi="Arial"/>
                <w:sz w:val="16"/>
                <w:szCs w:val="16"/>
                <w:color w:val="auto"/>
              </w:rPr>
              <w:t>Special Items to consider in evaluating operating profit: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Business restructuring and severance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r>
      <w:tr>
        <w:trPr>
          <w:trHeight w:val="215"/>
        </w:trPr>
        <w:tc>
          <w:tcPr>
            <w:tcW w:w="5940" w:type="dxa"/>
            <w:vAlign w:val="bottom"/>
          </w:tcPr>
          <w:p>
            <w:pPr>
              <w:ind w:left="460"/>
              <w:spacing w:after="0"/>
              <w:rPr>
                <w:sz w:val="20"/>
                <w:szCs w:val="20"/>
                <w:color w:val="auto"/>
              </w:rPr>
            </w:pPr>
            <w:r>
              <w:rPr>
                <w:rFonts w:ascii="Arial" w:cs="Arial" w:eastAsia="Arial" w:hAnsi="Arial"/>
                <w:sz w:val="16"/>
                <w:szCs w:val="16"/>
                <w:color w:val="auto"/>
              </w:rPr>
              <w:t>Adjusted operating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2,410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10,700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5,600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32,550</w:t>
            </w:r>
          </w:p>
        </w:tc>
      </w:tr>
      <w:tr>
        <w:trPr>
          <w:trHeight w:val="257"/>
        </w:trPr>
        <w:tc>
          <w:tcPr>
            <w:tcW w:w="5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Corporate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(37,880)</w:t>
            </w:r>
          </w:p>
        </w:tc>
      </w:tr>
      <w:tr>
        <w:trPr>
          <w:trHeight w:val="215"/>
        </w:trPr>
        <w:tc>
          <w:tcPr>
            <w:tcW w:w="5940" w:type="dxa"/>
            <w:vAlign w:val="bottom"/>
          </w:tcPr>
          <w:p>
            <w:pPr>
              <w:ind w:left="220"/>
              <w:spacing w:after="0"/>
              <w:rPr>
                <w:sz w:val="20"/>
                <w:szCs w:val="20"/>
                <w:color w:val="auto"/>
              </w:rPr>
            </w:pPr>
            <w:r>
              <w:rPr>
                <w:rFonts w:ascii="Arial" w:cs="Arial" w:eastAsia="Arial" w:hAnsi="Arial"/>
                <w:sz w:val="16"/>
                <w:szCs w:val="16"/>
                <w:color w:val="auto"/>
              </w:rPr>
              <w:t>Special Items to consider in evaluating operating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legacy liability estimate for asbestos-related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40" w:type="dxa"/>
            <w:vAlign w:val="bottom"/>
          </w:tcPr>
          <w:p>
            <w:pPr>
              <w:ind w:left="340"/>
              <w:spacing w:after="0"/>
              <w:rPr>
                <w:sz w:val="20"/>
                <w:szCs w:val="20"/>
                <w:color w:val="auto"/>
              </w:rPr>
            </w:pPr>
            <w:r>
              <w:rPr>
                <w:rFonts w:ascii="Arial" w:cs="Arial" w:eastAsia="Arial" w:hAnsi="Arial"/>
                <w:sz w:val="16"/>
                <w:szCs w:val="16"/>
                <w:color w:val="auto"/>
              </w:rPr>
              <w:t>M&amp;A diligence and transaction costs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1,930</w:t>
            </w:r>
          </w:p>
        </w:tc>
      </w:tr>
      <w:tr>
        <w:trPr>
          <w:trHeight w:val="217"/>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System implementation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40" w:type="dxa"/>
            <w:vAlign w:val="bottom"/>
          </w:tcPr>
          <w:p>
            <w:pPr>
              <w:ind w:left="340"/>
              <w:spacing w:after="0"/>
              <w:rPr>
                <w:sz w:val="20"/>
                <w:szCs w:val="20"/>
                <w:color w:val="auto"/>
              </w:rPr>
            </w:pPr>
            <w:r>
              <w:rPr>
                <w:rFonts w:ascii="Arial" w:cs="Arial" w:eastAsia="Arial" w:hAnsi="Arial"/>
                <w:sz w:val="16"/>
                <w:szCs w:val="16"/>
                <w:color w:val="auto"/>
              </w:rPr>
              <w:t>Change in environmental liability estimate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Business restructuring and severance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w:t>
            </w:r>
          </w:p>
        </w:tc>
      </w:tr>
      <w:tr>
        <w:trPr>
          <w:trHeight w:val="215"/>
        </w:trPr>
        <w:tc>
          <w:tcPr>
            <w:tcW w:w="5940" w:type="dxa"/>
            <w:vAlign w:val="bottom"/>
          </w:tcPr>
          <w:p>
            <w:pPr>
              <w:ind w:left="460"/>
              <w:spacing w:after="0"/>
              <w:rPr>
                <w:sz w:val="20"/>
                <w:szCs w:val="20"/>
                <w:color w:val="auto"/>
              </w:rPr>
            </w:pPr>
            <w:r>
              <w:rPr>
                <w:rFonts w:ascii="Arial" w:cs="Arial" w:eastAsia="Arial" w:hAnsi="Arial"/>
                <w:sz w:val="16"/>
                <w:szCs w:val="16"/>
                <w:color w:val="auto"/>
              </w:rPr>
              <w:t>Adjusted operating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(7,430)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(10,640)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(27,690)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(32,000)</w:t>
            </w:r>
          </w:p>
        </w:tc>
      </w:tr>
      <w:tr>
        <w:trPr>
          <w:trHeight w:val="217"/>
        </w:trPr>
        <w:tc>
          <w:tcPr>
            <w:tcW w:w="5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Total Company</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235,340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696,960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683,990</w:t>
            </w:r>
          </w:p>
        </w:tc>
      </w:tr>
      <w:tr>
        <w:trPr>
          <w:trHeight w:val="215"/>
        </w:trPr>
        <w:tc>
          <w:tcPr>
            <w:tcW w:w="5940" w:type="dxa"/>
            <w:vAlign w:val="bottom"/>
          </w:tcPr>
          <w:p>
            <w:pPr>
              <w:ind w:left="220"/>
              <w:spacing w:after="0"/>
              <w:rPr>
                <w:sz w:val="20"/>
                <w:szCs w:val="20"/>
                <w:color w:val="auto"/>
              </w:rPr>
            </w:pPr>
            <w:r>
              <w:rPr>
                <w:rFonts w:ascii="Arial" w:cs="Arial" w:eastAsia="Arial" w:hAnsi="Arial"/>
                <w:sz w:val="16"/>
                <w:szCs w:val="16"/>
                <w:color w:val="auto"/>
              </w:rPr>
              <w:t>Operating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8,280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23,760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38,570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53,810</w:t>
            </w:r>
          </w:p>
        </w:tc>
      </w:tr>
      <w:tr>
        <w:trPr>
          <w:trHeight w:val="217"/>
        </w:trPr>
        <w:tc>
          <w:tcPr>
            <w:tcW w:w="5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Special Items to consider in evaluating operating profit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16,870</w:t>
            </w:r>
          </w:p>
        </w:tc>
      </w:tr>
      <w:tr>
        <w:trPr>
          <w:trHeight w:val="215"/>
        </w:trPr>
        <w:tc>
          <w:tcPr>
            <w:tcW w:w="5940" w:type="dxa"/>
            <w:vAlign w:val="bottom"/>
          </w:tcPr>
          <w:p>
            <w:pPr>
              <w:ind w:left="460"/>
              <w:spacing w:after="0"/>
              <w:rPr>
                <w:sz w:val="20"/>
                <w:szCs w:val="20"/>
                <w:color w:val="auto"/>
              </w:rPr>
            </w:pPr>
            <w:r>
              <w:rPr>
                <w:rFonts w:ascii="Arial" w:cs="Arial" w:eastAsia="Arial" w:hAnsi="Arial"/>
                <w:sz w:val="16"/>
                <w:szCs w:val="16"/>
                <w:color w:val="auto"/>
              </w:rPr>
              <w:t>Adjusted operating profit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22,660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27,860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59,660</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70,680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894" w:right="35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 dollars in thousands, except per share amounts)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30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3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9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209"/>
        </w:trPr>
        <w:tc>
          <w:tcPr>
            <w:tcW w:w="5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as reported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32,420</w:t>
            </w:r>
          </w:p>
        </w:tc>
      </w:tr>
      <w:tr>
        <w:trPr>
          <w:trHeight w:val="216"/>
        </w:trPr>
        <w:tc>
          <w:tcPr>
            <w:tcW w:w="5920" w:type="dxa"/>
            <w:vAlign w:val="bottom"/>
          </w:tcPr>
          <w:p>
            <w:pPr>
              <w:spacing w:after="0"/>
              <w:rPr>
                <w:sz w:val="20"/>
                <w:szCs w:val="20"/>
                <w:color w:val="auto"/>
              </w:rPr>
            </w:pPr>
            <w:r>
              <w:rPr>
                <w:rFonts w:ascii="Arial" w:cs="Arial" w:eastAsia="Arial" w:hAnsi="Arial"/>
                <w:sz w:val="16"/>
                <w:szCs w:val="16"/>
                <w:b w:val="1"/>
                <w:bCs w:val="1"/>
                <w:color w:val="auto"/>
              </w:rPr>
              <w:t>Special Items to consider in evaluating quality of net income: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legacy liability estimate for asbestos-related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Business restructuring and severance costs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3,390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12,150</w:t>
            </w:r>
          </w:p>
        </w:tc>
      </w:tr>
      <w:tr>
        <w:trPr>
          <w:trHeight w:val="217"/>
        </w:trPr>
        <w:tc>
          <w:tcPr>
            <w:tcW w:w="5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accounting costs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M&amp;A diligence and transaction costs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1,930</w:t>
            </w:r>
          </w:p>
        </w:tc>
      </w:tr>
      <w:tr>
        <w:trPr>
          <w:trHeight w:val="217"/>
        </w:trPr>
        <w:tc>
          <w:tcPr>
            <w:tcW w:w="5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System implementation costs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Third-party and other costs incurred related to strike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Defined benefit pension plan settlement charge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Derivative de-designation and settlement (gain) loss</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environmental liability estimate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Foreign exchange forward charge</w:t>
            </w: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360</w:t>
            </w:r>
          </w:p>
        </w:tc>
      </w:tr>
      <w:tr>
        <w:trPr>
          <w:trHeight w:val="217"/>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acquisition-related intangible assets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13,810</w:t>
            </w:r>
          </w:p>
        </w:tc>
      </w:tr>
      <w:tr>
        <w:trPr>
          <w:trHeight w:val="215"/>
        </w:trPr>
        <w:tc>
          <w:tcPr>
            <w:tcW w:w="5920" w:type="dxa"/>
            <w:vAlign w:val="bottom"/>
          </w:tcPr>
          <w:p>
            <w:pPr>
              <w:spacing w:after="0"/>
              <w:rPr>
                <w:sz w:val="20"/>
                <w:szCs w:val="20"/>
                <w:color w:val="auto"/>
              </w:rPr>
            </w:pPr>
            <w:r>
              <w:rPr>
                <w:rFonts w:ascii="Arial" w:cs="Arial" w:eastAsia="Arial" w:hAnsi="Arial"/>
                <w:sz w:val="16"/>
                <w:szCs w:val="16"/>
                <w:color w:val="auto"/>
              </w:rPr>
              <w:t>Non-cash compensation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9,320</w:t>
            </w:r>
          </w:p>
        </w:tc>
      </w:tr>
      <w:tr>
        <w:trPr>
          <w:trHeight w:val="217"/>
        </w:trPr>
        <w:tc>
          <w:tcPr>
            <w:tcW w:w="592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Income tax effect of net income adjustments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(9,350)</w:t>
            </w:r>
          </w:p>
        </w:tc>
      </w:tr>
      <w:tr>
        <w:trPr>
          <w:trHeight w:val="209"/>
        </w:trPr>
        <w:tc>
          <w:tcPr>
            <w:tcW w:w="5920" w:type="dxa"/>
            <w:vAlign w:val="bottom"/>
          </w:tcPr>
          <w:p>
            <w:pPr>
              <w:ind w:left="200"/>
              <w:spacing w:after="0"/>
              <w:rPr>
                <w:sz w:val="20"/>
                <w:szCs w:val="20"/>
                <w:color w:val="auto"/>
              </w:rPr>
            </w:pPr>
            <w:r>
              <w:rPr>
                <w:rFonts w:ascii="Arial" w:cs="Arial" w:eastAsia="Arial" w:hAnsi="Arial"/>
                <w:sz w:val="16"/>
                <w:szCs w:val="16"/>
                <w:b w:val="1"/>
                <w:bCs w:val="1"/>
                <w:color w:val="auto"/>
              </w:rPr>
              <w:t>Adjusted net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17,650</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26,020</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50,210</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64,070</w:t>
            </w: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3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5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8"/>
                <w:szCs w:val="18"/>
                <w:color w:val="auto"/>
              </w:rPr>
            </w:pPr>
          </w:p>
        </w:tc>
        <w:tc>
          <w:tcPr>
            <w:tcW w:w="23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9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Diluted earnings per share, as reported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w:t>
            </w:r>
          </w:p>
        </w:tc>
      </w:tr>
      <w:tr>
        <w:trPr>
          <w:trHeight w:val="216"/>
        </w:trPr>
        <w:tc>
          <w:tcPr>
            <w:tcW w:w="5920" w:type="dxa"/>
            <w:vAlign w:val="bottom"/>
          </w:tcPr>
          <w:p>
            <w:pPr>
              <w:spacing w:after="0"/>
              <w:rPr>
                <w:sz w:val="20"/>
                <w:szCs w:val="20"/>
                <w:color w:val="auto"/>
              </w:rPr>
            </w:pPr>
            <w:r>
              <w:rPr>
                <w:rFonts w:ascii="Arial" w:cs="Arial" w:eastAsia="Arial" w:hAnsi="Arial"/>
                <w:sz w:val="16"/>
                <w:szCs w:val="16"/>
                <w:b w:val="1"/>
                <w:bCs w:val="1"/>
                <w:color w:val="auto"/>
              </w:rPr>
              <w:t>Special Items to consider in evaluating quality of EPS: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legacy liability estimate for asbestos-related costs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Business restructuring and severance costs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0.29</w:t>
            </w:r>
          </w:p>
        </w:tc>
      </w:tr>
      <w:tr>
        <w:trPr>
          <w:trHeight w:val="217"/>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Purchase accounting costs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M&amp;A diligence and transaction costs</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217"/>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System implementation costs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Third-party and other costs incurred related to strike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Defined benefit pension plan settlement charge</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Derivative de-designation and settlement (gain) loss</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environmental liability estimate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920" w:type="dxa"/>
            <w:vAlign w:val="bottom"/>
          </w:tcPr>
          <w:p>
            <w:pPr>
              <w:ind w:left="200"/>
              <w:spacing w:after="0"/>
              <w:rPr>
                <w:sz w:val="20"/>
                <w:szCs w:val="20"/>
                <w:color w:val="auto"/>
              </w:rPr>
            </w:pPr>
            <w:r>
              <w:rPr>
                <w:rFonts w:ascii="Arial" w:cs="Arial" w:eastAsia="Arial" w:hAnsi="Arial"/>
                <w:sz w:val="16"/>
                <w:szCs w:val="16"/>
                <w:color w:val="auto"/>
              </w:rPr>
              <w:t>Foreign exchange forward charge</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217"/>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acquisition-related intangible assets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r>
      <w:tr>
        <w:trPr>
          <w:trHeight w:val="215"/>
        </w:trPr>
        <w:tc>
          <w:tcPr>
            <w:tcW w:w="5920" w:type="dxa"/>
            <w:vAlign w:val="bottom"/>
          </w:tcPr>
          <w:p>
            <w:pPr>
              <w:spacing w:after="0"/>
              <w:rPr>
                <w:sz w:val="20"/>
                <w:szCs w:val="20"/>
                <w:color w:val="auto"/>
              </w:rPr>
            </w:pPr>
            <w:r>
              <w:rPr>
                <w:rFonts w:ascii="Arial" w:cs="Arial" w:eastAsia="Arial" w:hAnsi="Arial"/>
                <w:sz w:val="16"/>
                <w:szCs w:val="16"/>
                <w:color w:val="auto"/>
              </w:rPr>
              <w:t>Non-cash compensation expense</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17"/>
        </w:trPr>
        <w:tc>
          <w:tcPr>
            <w:tcW w:w="5920" w:type="dxa"/>
            <w:vAlign w:val="bottom"/>
            <w:shd w:val="clear" w:color="auto" w:fill="CCEEFF"/>
          </w:tcPr>
          <w:p>
            <w:pPr>
              <w:spacing w:after="0" w:line="217" w:lineRule="exact"/>
              <w:rPr>
                <w:sz w:val="20"/>
                <w:szCs w:val="20"/>
                <w:color w:val="auto"/>
              </w:rPr>
            </w:pPr>
            <w:r>
              <w:rPr>
                <w:rFonts w:ascii="Arial" w:cs="Arial" w:eastAsia="Arial" w:hAnsi="Arial"/>
                <w:sz w:val="16"/>
                <w:szCs w:val="16"/>
                <w:color w:val="auto"/>
              </w:rPr>
              <w:t>Income tax effect of net income adjustments</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r>
      <w:tr>
        <w:trPr>
          <w:trHeight w:val="210"/>
        </w:trPr>
        <w:tc>
          <w:tcPr>
            <w:tcW w:w="5920" w:type="dxa"/>
            <w:vAlign w:val="bottom"/>
          </w:tcPr>
          <w:p>
            <w:pPr>
              <w:ind w:left="200"/>
              <w:spacing w:after="0"/>
              <w:rPr>
                <w:sz w:val="20"/>
                <w:szCs w:val="20"/>
                <w:color w:val="auto"/>
              </w:rPr>
            </w:pPr>
            <w:r>
              <w:rPr>
                <w:rFonts w:ascii="Arial" w:cs="Arial" w:eastAsia="Arial" w:hAnsi="Arial"/>
                <w:sz w:val="16"/>
                <w:szCs w:val="16"/>
                <w:b w:val="1"/>
                <w:bCs w:val="1"/>
                <w:color w:val="auto"/>
              </w:rPr>
              <w:t>Adjusted diluted EPS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5"/>
        </w:trPr>
        <w:tc>
          <w:tcPr>
            <w:tcW w:w="5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Weighted-average shares outstanding</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40,946,571</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41,673,381</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41,089,208</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41,706,867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500" w:right="300" w:hanging="168"/>
        <w:spacing w:after="0" w:line="385" w:lineRule="auto"/>
        <w:tabs>
          <w:tab w:leader="none" w:pos="478"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Income tax effect of net income adjustments is calculated on an item-by-item basis, utilizing the statutory income tax rate in the jurisdiction where the adjustments occurred. For the three and nine month periods ended September 30, 2024 and 2023, the income tax effect on the cumulative net income adjustments varied from the tax rate inherent in the Company's reported GAAP results, primarily as a result of certain discrete items that occurred during the period for GAAP reporting purposes.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894"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Special Items Impacting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Reported 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gridSpan w:val="9"/>
          </w:tcPr>
          <w:p>
            <w:pPr>
              <w:ind w:left="780"/>
              <w:spacing w:after="0"/>
              <w:rPr>
                <w:sz w:val="20"/>
                <w:szCs w:val="20"/>
                <w:color w:val="auto"/>
              </w:rPr>
            </w:pPr>
            <w:r>
              <w:rPr>
                <w:rFonts w:ascii="Arial" w:cs="Arial" w:eastAsia="Arial" w:hAnsi="Arial"/>
                <w:sz w:val="16"/>
                <w:szCs w:val="16"/>
                <w:b w:val="1"/>
                <w:bCs w:val="1"/>
                <w:color w:val="auto"/>
              </w:rPr>
              <w:t>Three months ended September 30,</w:t>
            </w: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3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398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reported</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adjusted</w:t>
            </w:r>
          </w:p>
        </w:tc>
        <w:tc>
          <w:tcPr>
            <w:tcW w:w="140" w:type="dxa"/>
            <w:vAlign w:val="bottom"/>
          </w:tcPr>
          <w:p>
            <w:pPr>
              <w:spacing w:after="0"/>
              <w:rPr>
                <w:sz w:val="18"/>
                <w:szCs w:val="18"/>
                <w:color w:val="auto"/>
              </w:rPr>
            </w:pP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reported</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22,030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27,240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31,380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8"/>
              </w:rPr>
              <w:t>35,170</w:t>
            </w: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300" w:type="dxa"/>
            <w:vAlign w:val="bottom"/>
          </w:tcPr>
          <w:p>
            <w:pPr>
              <w:spacing w:after="0"/>
              <w:rPr>
                <w:sz w:val="18"/>
                <w:szCs w:val="18"/>
                <w:color w:val="auto"/>
              </w:rPr>
            </w:pPr>
          </w:p>
        </w:tc>
        <w:tc>
          <w:tcPr>
            <w:tcW w:w="800" w:type="dxa"/>
            <w:vAlign w:val="bottom"/>
          </w:tcPr>
          <w:p>
            <w:pPr>
              <w:jc w:val="center"/>
              <w:ind w:left="79"/>
              <w:spacing w:after="0"/>
              <w:rPr>
                <w:sz w:val="20"/>
                <w:szCs w:val="20"/>
                <w:color w:val="auto"/>
              </w:rPr>
            </w:pPr>
            <w:r>
              <w:rPr>
                <w:rFonts w:ascii="Arial" w:cs="Arial" w:eastAsia="Arial" w:hAnsi="Arial"/>
                <w:sz w:val="16"/>
                <w:szCs w:val="16"/>
                <w:color w:val="auto"/>
              </w:rPr>
              <w:t>(11,870)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center"/>
              <w:ind w:left="79"/>
              <w:spacing w:after="0"/>
              <w:rPr>
                <w:sz w:val="20"/>
                <w:szCs w:val="20"/>
                <w:color w:val="auto"/>
              </w:rPr>
            </w:pPr>
            <w:r>
              <w:rPr>
                <w:rFonts w:ascii="Arial" w:cs="Arial" w:eastAsia="Arial" w:hAnsi="Arial"/>
                <w:sz w:val="16"/>
                <w:szCs w:val="16"/>
                <w:color w:val="auto"/>
              </w:rPr>
              <w:t>(11,870)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center"/>
              <w:ind w:left="79"/>
              <w:spacing w:after="0"/>
              <w:rPr>
                <w:sz w:val="20"/>
                <w:szCs w:val="20"/>
                <w:color w:val="auto"/>
              </w:rPr>
            </w:pPr>
            <w:r>
              <w:rPr>
                <w:rFonts w:ascii="Arial" w:cs="Arial" w:eastAsia="Arial" w:hAnsi="Arial"/>
                <w:sz w:val="16"/>
                <w:szCs w:val="16"/>
                <w:color w:val="auto"/>
              </w:rPr>
              <w:t>(10,010)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center"/>
              <w:ind w:left="79"/>
              <w:spacing w:after="0"/>
              <w:rPr>
                <w:sz w:val="20"/>
                <w:szCs w:val="20"/>
                <w:color w:val="auto"/>
              </w:rPr>
            </w:pPr>
            <w:r>
              <w:rPr>
                <w:rFonts w:ascii="Arial" w:cs="Arial" w:eastAsia="Arial" w:hAnsi="Arial"/>
                <w:sz w:val="16"/>
                <w:szCs w:val="16"/>
                <w:color w:val="auto"/>
              </w:rPr>
              <w:t>(10,010)</w:t>
            </w:r>
          </w:p>
        </w:tc>
      </w:tr>
      <w:tr>
        <w:trPr>
          <w:trHeight w:val="208"/>
        </w:trPr>
        <w:tc>
          <w:tcPr>
            <w:tcW w:w="3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10,160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15,370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21,370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8"/>
              </w:rPr>
              <w:t>25,160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9"/>
          </w:tcPr>
          <w:p>
            <w:pPr>
              <w:ind w:left="820"/>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3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0"/>
        </w:trPr>
        <w:tc>
          <w:tcPr>
            <w:tcW w:w="3980" w:type="dxa"/>
            <w:vAlign w:val="bottom"/>
          </w:tcPr>
          <w:p>
            <w:pPr>
              <w:spacing w:after="0"/>
              <w:rPr>
                <w:sz w:val="18"/>
                <w:szCs w:val="18"/>
                <w:color w:val="auto"/>
              </w:rPr>
            </w:pPr>
          </w:p>
        </w:tc>
        <w:tc>
          <w:tcPr>
            <w:tcW w:w="124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reported</w:t>
            </w: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As adjusted</w:t>
            </w:r>
          </w:p>
        </w:tc>
        <w:tc>
          <w:tcPr>
            <w:tcW w:w="140" w:type="dxa"/>
            <w:vAlign w:val="bottom"/>
          </w:tcPr>
          <w:p>
            <w:pPr>
              <w:spacing w:after="0"/>
              <w:rPr>
                <w:sz w:val="18"/>
                <w:szCs w:val="18"/>
                <w:color w:val="auto"/>
              </w:rPr>
            </w:pPr>
          </w:p>
        </w:tc>
        <w:tc>
          <w:tcPr>
            <w:tcW w:w="1240" w:type="dxa"/>
            <w:vAlign w:val="bottom"/>
            <w:gridSpan w:val="4"/>
          </w:tcPr>
          <w:p>
            <w:pPr>
              <w:ind w:left="100"/>
              <w:spacing w:after="0"/>
              <w:rPr>
                <w:sz w:val="20"/>
                <w:szCs w:val="20"/>
                <w:color w:val="auto"/>
              </w:rPr>
            </w:pPr>
            <w:r>
              <w:rPr>
                <w:rFonts w:ascii="Arial" w:cs="Arial" w:eastAsia="Arial" w:hAnsi="Arial"/>
                <w:sz w:val="16"/>
                <w:szCs w:val="16"/>
                <w:b w:val="1"/>
                <w:bCs w:val="1"/>
                <w:color w:val="auto"/>
              </w:rPr>
              <w:t>As reported</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Special Items</w:t>
            </w: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36,700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48,540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57,570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8"/>
              </w:rPr>
              <w:t>68,000</w:t>
            </w:r>
          </w:p>
        </w:tc>
      </w:tr>
      <w:tr>
        <w:trPr>
          <w:trHeight w:val="215"/>
        </w:trPr>
        <w:tc>
          <w:tcPr>
            <w:tcW w:w="398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(35,980)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00" w:type="dxa"/>
            <w:vAlign w:val="bottom"/>
          </w:tcPr>
          <w:p>
            <w:pPr>
              <w:jc w:val="center"/>
              <w:ind w:left="79"/>
              <w:spacing w:after="0"/>
              <w:rPr>
                <w:sz w:val="20"/>
                <w:szCs w:val="20"/>
                <w:color w:val="auto"/>
              </w:rPr>
            </w:pPr>
            <w:r>
              <w:rPr>
                <w:rFonts w:ascii="Arial" w:cs="Arial" w:eastAsia="Arial" w:hAnsi="Arial"/>
                <w:sz w:val="16"/>
                <w:szCs w:val="16"/>
                <w:color w:val="auto"/>
              </w:rPr>
              <w:t>(35,980)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center"/>
              <w:ind w:left="79"/>
              <w:spacing w:after="0"/>
              <w:rPr>
                <w:sz w:val="20"/>
                <w:szCs w:val="20"/>
                <w:color w:val="auto"/>
              </w:rPr>
            </w:pPr>
            <w:r>
              <w:rPr>
                <w:rFonts w:ascii="Arial" w:cs="Arial" w:eastAsia="Arial" w:hAnsi="Arial"/>
                <w:sz w:val="16"/>
                <w:szCs w:val="16"/>
                <w:color w:val="auto"/>
              </w:rPr>
              <w:t>(34,940)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20" w:type="dxa"/>
            <w:vAlign w:val="bottom"/>
          </w:tcPr>
          <w:p>
            <w:pPr>
              <w:jc w:val="center"/>
              <w:ind w:left="79"/>
              <w:spacing w:after="0"/>
              <w:rPr>
                <w:sz w:val="20"/>
                <w:szCs w:val="20"/>
                <w:color w:val="auto"/>
              </w:rPr>
            </w:pPr>
            <w:r>
              <w:rPr>
                <w:rFonts w:ascii="Arial" w:cs="Arial" w:eastAsia="Arial" w:hAnsi="Arial"/>
                <w:sz w:val="16"/>
                <w:szCs w:val="16"/>
                <w:color w:val="auto"/>
              </w:rPr>
              <w:t>(34,940)</w:t>
            </w:r>
          </w:p>
        </w:tc>
      </w:tr>
      <w:tr>
        <w:trPr>
          <w:trHeight w:val="210"/>
        </w:trPr>
        <w:tc>
          <w:tcPr>
            <w:tcW w:w="3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12,560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rPr>
              <w:t>22,630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ind w:left="99"/>
              <w:spacing w:after="0"/>
              <w:rPr>
                <w:sz w:val="20"/>
                <w:szCs w:val="20"/>
                <w:color w:val="auto"/>
              </w:rPr>
            </w:pPr>
            <w:r>
              <w:rPr>
                <w:rFonts w:ascii="Arial" w:cs="Arial" w:eastAsia="Arial" w:hAnsi="Arial"/>
                <w:sz w:val="16"/>
                <w:szCs w:val="16"/>
                <w:color w:val="auto"/>
                <w:w w:val="98"/>
              </w:rPr>
              <w:t>33,060</w:t>
            </w:r>
          </w:p>
        </w:tc>
      </w:tr>
    </w:tbl>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80" w:type="dxa"/>
            <w:vAlign w:val="bottom"/>
          </w:tcPr>
          <w:p>
            <w:pPr>
              <w:jc w:val="right"/>
              <w:ind w:right="139"/>
              <w:spacing w:after="0"/>
              <w:rPr>
                <w:sz w:val="20"/>
                <w:szCs w:val="20"/>
                <w:color w:val="auto"/>
              </w:rPr>
            </w:pPr>
            <w:r>
              <w:rPr>
                <w:rFonts w:ascii="Arial" w:cs="Arial" w:eastAsia="Arial" w:hAnsi="Arial"/>
                <w:sz w:val="16"/>
                <w:szCs w:val="16"/>
                <w:b w:val="1"/>
                <w:bCs w:val="1"/>
                <w:color w:val="auto"/>
              </w:rPr>
              <w:t>September 30,</w:t>
            </w:r>
          </w:p>
        </w:tc>
      </w:tr>
      <w:tr>
        <w:trPr>
          <w:trHeight w:val="216"/>
        </w:trPr>
        <w:tc>
          <w:tcPr>
            <w:tcW w:w="6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Long-term debt, net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409,870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395,660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395,420</w:t>
            </w: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Total Debt</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395,420</w:t>
            </w:r>
          </w:p>
        </w:tc>
      </w:tr>
      <w:tr>
        <w:trPr>
          <w:trHeight w:val="215"/>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Cash and cash equivalents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34,660</w:t>
            </w:r>
          </w:p>
        </w:tc>
      </w:tr>
      <w:tr>
        <w:trPr>
          <w:trHeight w:val="235"/>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383,040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360,770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360,760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ind w:left="900"/>
              <w:spacing w:after="0"/>
              <w:rPr>
                <w:sz w:val="20"/>
                <w:szCs w:val="20"/>
                <w:color w:val="auto"/>
              </w:rPr>
            </w:pPr>
            <w:r>
              <w:rPr>
                <w:rFonts w:ascii="Arial" w:cs="Arial" w:eastAsia="Arial" w:hAnsi="Arial"/>
                <w:sz w:val="16"/>
                <w:szCs w:val="16"/>
                <w:b w:val="1"/>
                <w:bCs w:val="1"/>
                <w:color w:val="auto"/>
              </w:rPr>
              <w:t>YOY Sales Growth %</w:t>
            </w:r>
          </w:p>
        </w:tc>
        <w:tc>
          <w:tcPr>
            <w:tcW w:w="1580" w:type="dxa"/>
            <w:vAlign w:val="bottom"/>
            <w:tcBorders>
              <w:bottom w:val="single" w:sz="8" w:color="auto"/>
            </w:tcBorders>
          </w:tcPr>
          <w:p>
            <w:pPr>
              <w:spacing w:after="0"/>
              <w:rPr>
                <w:sz w:val="18"/>
                <w:szCs w:val="18"/>
                <w:color w:val="auto"/>
              </w:rPr>
            </w:pPr>
          </w:p>
        </w:tc>
      </w:tr>
      <w:tr>
        <w:trPr>
          <w:trHeight w:val="210"/>
        </w:trPr>
        <w:tc>
          <w:tcPr>
            <w:tcW w:w="4360" w:type="dxa"/>
            <w:vAlign w:val="bottom"/>
          </w:tcPr>
          <w:p>
            <w:pPr>
              <w:spacing w:after="0"/>
              <w:rPr>
                <w:sz w:val="18"/>
                <w:szCs w:val="18"/>
                <w:color w:val="auto"/>
              </w:rPr>
            </w:pPr>
          </w:p>
        </w:tc>
        <w:tc>
          <w:tcPr>
            <w:tcW w:w="1740" w:type="dxa"/>
            <w:vAlign w:val="bottom"/>
            <w:gridSpan w:val="2"/>
          </w:tcPr>
          <w:p>
            <w:pPr>
              <w:ind w:left="500"/>
              <w:spacing w:after="0"/>
              <w:rPr>
                <w:sz w:val="20"/>
                <w:szCs w:val="20"/>
                <w:color w:val="auto"/>
              </w:rPr>
            </w:pPr>
            <w:r>
              <w:rPr>
                <w:rFonts w:ascii="Arial" w:cs="Arial" w:eastAsia="Arial" w:hAnsi="Arial"/>
                <w:sz w:val="16"/>
                <w:szCs w:val="16"/>
                <w:b w:val="1"/>
                <w:bCs w:val="1"/>
                <w:color w:val="auto"/>
              </w:rPr>
              <w:t>Organic</w:t>
            </w:r>
          </w:p>
        </w:tc>
        <w:tc>
          <w:tcPr>
            <w:tcW w:w="1800" w:type="dxa"/>
            <w:vAlign w:val="bottom"/>
            <w:gridSpan w:val="2"/>
          </w:tcPr>
          <w:p>
            <w:pPr>
              <w:ind w:left="340"/>
              <w:spacing w:after="0"/>
              <w:rPr>
                <w:sz w:val="20"/>
                <w:szCs w:val="20"/>
                <w:color w:val="auto"/>
              </w:rPr>
            </w:pPr>
            <w:r>
              <w:rPr>
                <w:rFonts w:ascii="Arial" w:cs="Arial" w:eastAsia="Arial" w:hAnsi="Arial"/>
                <w:sz w:val="16"/>
                <w:szCs w:val="16"/>
                <w:b w:val="1"/>
                <w:bCs w:val="1"/>
                <w:color w:val="auto"/>
              </w:rPr>
              <w:t>Acquisitions</w:t>
            </w: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Foreign Exchange</w:t>
            </w:r>
          </w:p>
        </w:tc>
        <w:tc>
          <w:tcPr>
            <w:tcW w:w="1580" w:type="dxa"/>
            <w:vAlign w:val="bottom"/>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196"/>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Q3 2024 vs. Q3 2023</w:t>
            </w:r>
          </w:p>
        </w:tc>
        <w:tc>
          <w:tcPr>
            <w:tcW w:w="1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Consolidated TriMas Corporation</w:t>
            </w:r>
          </w:p>
        </w:tc>
        <w:tc>
          <w:tcPr>
            <w:tcW w:w="158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600" w:type="dxa"/>
            <w:vAlign w:val="bottom"/>
          </w:tcPr>
          <w:p>
            <w:pPr>
              <w:jc w:val="right"/>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Packaging</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Aerospace</w:t>
            </w:r>
          </w:p>
        </w:tc>
        <w:tc>
          <w:tcPr>
            <w:tcW w:w="1580" w:type="dxa"/>
            <w:vAlign w:val="bottom"/>
          </w:tcPr>
          <w:p>
            <w:pPr>
              <w:jc w:val="right"/>
              <w:spacing w:after="0"/>
              <w:rPr>
                <w:sz w:val="20"/>
                <w:szCs w:val="20"/>
                <w:color w:val="auto"/>
              </w:rPr>
            </w:pPr>
            <w:r>
              <w:rPr>
                <w:rFonts w:ascii="Arial" w:cs="Arial" w:eastAsia="Arial" w:hAnsi="Arial"/>
                <w:sz w:val="16"/>
                <w:szCs w:val="16"/>
                <w:color w:val="auto"/>
              </w:rPr>
              <w:t>4.8 %</w:t>
            </w:r>
          </w:p>
        </w:tc>
        <w:tc>
          <w:tcPr>
            <w:tcW w:w="1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Products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r>
      <w:tr>
        <w:trPr>
          <w:trHeight w:val="108"/>
        </w:trPr>
        <w:tc>
          <w:tcPr>
            <w:tcW w:w="43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YTD Q3 2024 vs YTD Q3 2023</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Consolidated TriMas Corporation</w:t>
            </w:r>
          </w:p>
        </w:tc>
        <w:tc>
          <w:tcPr>
            <w:tcW w:w="1580" w:type="dxa"/>
            <w:vAlign w:val="bottom"/>
          </w:tcPr>
          <w:p>
            <w:pPr>
              <w:jc w:val="right"/>
              <w:spacing w:after="0"/>
              <w:rPr>
                <w:sz w:val="20"/>
                <w:szCs w:val="20"/>
                <w:color w:val="auto"/>
              </w:rPr>
            </w:pPr>
            <w:r>
              <w:rPr>
                <w:rFonts w:ascii="Arial" w:cs="Arial" w:eastAsia="Arial" w:hAnsi="Arial"/>
                <w:sz w:val="16"/>
                <w:szCs w:val="16"/>
                <w:color w:val="auto"/>
              </w:rPr>
              <w:t>(0.3)%</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2.3 %</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Packaging</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10.5 %</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15"/>
        </w:trPr>
        <w:tc>
          <w:tcPr>
            <w:tcW w:w="4360" w:type="dxa"/>
            <w:vAlign w:val="bottom"/>
          </w:tcPr>
          <w:p>
            <w:pPr>
              <w:ind w:left="140"/>
              <w:spacing w:after="0"/>
              <w:rPr>
                <w:sz w:val="20"/>
                <w:szCs w:val="20"/>
                <w:color w:val="auto"/>
              </w:rPr>
            </w:pPr>
            <w:r>
              <w:rPr>
                <w:rFonts w:ascii="Arial" w:cs="Arial" w:eastAsia="Arial" w:hAnsi="Arial"/>
                <w:sz w:val="16"/>
                <w:szCs w:val="16"/>
                <w:color w:val="auto"/>
              </w:rPr>
              <w:t>Aerospace</w:t>
            </w:r>
          </w:p>
        </w:tc>
        <w:tc>
          <w:tcPr>
            <w:tcW w:w="1580" w:type="dxa"/>
            <w:vAlign w:val="bottom"/>
          </w:tcPr>
          <w:p>
            <w:pPr>
              <w:jc w:val="right"/>
              <w:spacing w:after="0"/>
              <w:rPr>
                <w:sz w:val="20"/>
                <w:szCs w:val="20"/>
                <w:color w:val="auto"/>
              </w:rPr>
            </w:pPr>
            <w:r>
              <w:rPr>
                <w:rFonts w:ascii="Arial" w:cs="Arial" w:eastAsia="Arial" w:hAnsi="Arial"/>
                <w:sz w:val="16"/>
                <w:szCs w:val="16"/>
                <w:color w:val="auto"/>
              </w:rPr>
              <w:t>14.4 %</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7.3 %</w:t>
            </w:r>
          </w:p>
        </w:tc>
        <w:tc>
          <w:tcPr>
            <w:tcW w:w="18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21.7 %</w:t>
            </w:r>
          </w:p>
        </w:tc>
      </w:tr>
      <w:tr>
        <w:trPr>
          <w:trHeight w:val="217"/>
        </w:trPr>
        <w:tc>
          <w:tcPr>
            <w:tcW w:w="4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Specialty Products</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4"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Appendix I</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Forecasted Diluted Earnings Per Share Guidance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dollars per share)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270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Twelve months ended</w:t>
            </w:r>
          </w:p>
        </w:tc>
        <w:tc>
          <w:tcPr>
            <w:tcW w:w="520" w:type="dxa"/>
            <w:vAlign w:val="bottom"/>
          </w:tcPr>
          <w:p>
            <w:pPr>
              <w:spacing w:after="0"/>
              <w:rPr>
                <w:sz w:val="18"/>
                <w:szCs w:val="18"/>
                <w:color w:val="auto"/>
              </w:rPr>
            </w:pPr>
          </w:p>
        </w:tc>
      </w:tr>
      <w:tr>
        <w:trPr>
          <w:trHeight w:val="217"/>
        </w:trPr>
        <w:tc>
          <w:tcPr>
            <w:tcW w:w="8020" w:type="dxa"/>
            <w:vAlign w:val="bottom"/>
          </w:tcPr>
          <w:p>
            <w:pPr>
              <w:spacing w:after="0"/>
              <w:rPr>
                <w:sz w:val="18"/>
                <w:szCs w:val="18"/>
                <w:color w:val="auto"/>
              </w:rPr>
            </w:pPr>
          </w:p>
        </w:tc>
        <w:tc>
          <w:tcPr>
            <w:tcW w:w="27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December 31, 2024</w:t>
            </w:r>
          </w:p>
        </w:tc>
        <w:tc>
          <w:tcPr>
            <w:tcW w:w="520" w:type="dxa"/>
            <w:vAlign w:val="bottom"/>
            <w:tcBorders>
              <w:bottom w:val="single" w:sz="8" w:color="auto"/>
            </w:tcBorders>
          </w:tcPr>
          <w:p>
            <w:pPr>
              <w:spacing w:after="0"/>
              <w:rPr>
                <w:sz w:val="18"/>
                <w:szCs w:val="18"/>
                <w:color w:val="auto"/>
              </w:rPr>
            </w:pPr>
          </w:p>
        </w:tc>
      </w:tr>
      <w:tr>
        <w:trPr>
          <w:trHeight w:val="209"/>
        </w:trPr>
        <w:tc>
          <w:tcPr>
            <w:tcW w:w="80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Low</w:t>
            </w:r>
          </w:p>
        </w:tc>
        <w:tc>
          <w:tcPr>
            <w:tcW w:w="5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High</w:t>
            </w:r>
          </w:p>
        </w:tc>
        <w:tc>
          <w:tcPr>
            <w:tcW w:w="520" w:type="dxa"/>
            <w:vAlign w:val="bottom"/>
            <w:tcBorders>
              <w:bottom w:val="single" w:sz="8" w:color="auto"/>
            </w:tcBorders>
          </w:tcPr>
          <w:p>
            <w:pPr>
              <w:spacing w:after="0"/>
              <w:rPr>
                <w:sz w:val="18"/>
                <w:szCs w:val="18"/>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 (GAAP)</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0.82</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1.02</w:t>
            </w:r>
          </w:p>
        </w:tc>
      </w:tr>
      <w:tr>
        <w:trPr>
          <w:trHeight w:val="216"/>
        </w:trPr>
        <w:tc>
          <w:tcPr>
            <w:tcW w:w="8020" w:type="dxa"/>
            <w:vAlign w:val="bottom"/>
          </w:tcPr>
          <w:p>
            <w:pPr>
              <w:ind w:left="140"/>
              <w:spacing w:after="0" w:line="216" w:lineRule="exact"/>
              <w:rPr>
                <w:sz w:val="20"/>
                <w:szCs w:val="20"/>
                <w:color w:val="auto"/>
              </w:rPr>
            </w:pPr>
            <w:r>
              <w:rPr>
                <w:rFonts w:ascii="Arial" w:cs="Arial" w:eastAsia="Arial" w:hAnsi="Arial"/>
                <w:sz w:val="16"/>
                <w:szCs w:val="16"/>
                <w:color w:val="auto"/>
              </w:rPr>
              <w:t>Pre-tax amortization of acquisition-related intangible assets</w:t>
            </w:r>
            <w:r>
              <w:rPr>
                <w:rFonts w:ascii="Arial" w:cs="Arial" w:eastAsia="Arial" w:hAnsi="Arial"/>
                <w:sz w:val="21"/>
                <w:szCs w:val="21"/>
                <w:color w:val="auto"/>
                <w:vertAlign w:val="superscript"/>
              </w:rPr>
              <w:t>(1)</w:t>
            </w: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0.41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0.41</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 on amortization of acquisition-related intangible assets</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(0.10)</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(0.10)</w:t>
            </w:r>
          </w:p>
        </w:tc>
      </w:tr>
      <w:tr>
        <w:trPr>
          <w:trHeight w:val="215"/>
        </w:trPr>
        <w:tc>
          <w:tcPr>
            <w:tcW w:w="8020" w:type="dxa"/>
            <w:vAlign w:val="bottom"/>
          </w:tcPr>
          <w:p>
            <w:pPr>
              <w:ind w:left="140"/>
              <w:spacing w:after="0"/>
              <w:rPr>
                <w:sz w:val="20"/>
                <w:szCs w:val="20"/>
                <w:color w:val="auto"/>
              </w:rPr>
            </w:pPr>
            <w:r>
              <w:rPr>
                <w:rFonts w:ascii="Arial" w:cs="Arial" w:eastAsia="Arial" w:hAnsi="Arial"/>
                <w:sz w:val="16"/>
                <w:szCs w:val="16"/>
                <w:color w:val="auto"/>
              </w:rPr>
              <w:t>Pre-tax non-cash compensation expense</w:t>
            </w: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rPr>
              <w:t>0.24</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96"/>
              </w:rPr>
              <w:t>0.24</w:t>
            </w:r>
          </w:p>
        </w:tc>
      </w:tr>
      <w:tr>
        <w:trPr>
          <w:trHeight w:val="217"/>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benefit on non-cash compensation expense</w:t>
            </w: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(0.06)</w:t>
            </w:r>
          </w:p>
        </w:tc>
      </w:tr>
      <w:tr>
        <w:trPr>
          <w:trHeight w:val="216"/>
        </w:trPr>
        <w:tc>
          <w:tcPr>
            <w:tcW w:w="80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Impact of Special Items</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0.39</w:t>
            </w: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0.39</w:t>
            </w:r>
          </w:p>
        </w:tc>
      </w:tr>
      <w:tr>
        <w:trPr>
          <w:trHeight w:val="23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diluted earnings per share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1.70</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1.90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420" w:hanging="169"/>
        <w:spacing w:after="0" w:line="216" w:lineRule="auto"/>
        <w:tabs>
          <w:tab w:leader="none" w:pos="416"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These amounts relate to acquisitions completed as of November 4, 2024. The Company is unable to provide forward-looking estimates of future acquisitions, if any, that have not yet been consummated.</w:t>
      </w:r>
    </w:p>
    <w:p>
      <w:pPr>
        <w:spacing w:after="0" w:line="134" w:lineRule="exact"/>
        <w:rPr>
          <w:rFonts w:ascii="Arial" w:cs="Arial" w:eastAsia="Arial" w:hAnsi="Arial"/>
          <w:sz w:val="20"/>
          <w:szCs w:val="20"/>
          <w:color w:val="auto"/>
          <w:vertAlign w:val="superscript"/>
        </w:rPr>
      </w:pPr>
    </w:p>
    <w:p>
      <w:pPr>
        <w:jc w:val="both"/>
        <w:ind w:left="420" w:right="20" w:hanging="169"/>
        <w:spacing w:after="0" w:line="229" w:lineRule="auto"/>
        <w:tabs>
          <w:tab w:leader="none" w:pos="416" w:val="left"/>
        </w:tabs>
        <w:numPr>
          <w:ilvl w:val="0"/>
          <w:numId w:val="7"/>
        </w:numPr>
        <w:rPr>
          <w:rFonts w:ascii="Arial" w:cs="Arial" w:eastAsia="Arial" w:hAnsi="Arial"/>
          <w:sz w:val="20"/>
          <w:szCs w:val="20"/>
          <w:color w:val="auto"/>
          <w:vertAlign w:val="superscript"/>
        </w:rPr>
      </w:pPr>
      <w:r>
        <w:rPr>
          <w:rFonts w:ascii="Arial" w:cs="Arial" w:eastAsia="Arial" w:hAnsi="Arial"/>
          <w:sz w:val="14"/>
          <w:szCs w:val="14"/>
          <w:color w:val="auto"/>
        </w:rPr>
        <w:t>The Company is unable to provide forward-looking estimates of Special Items without unreasonable effort, due to the uncertainty and inherent difficulty of predicting the occurrence and the financial impact of such items and the periods in which such items may be recognized. For the same reasons, the Company is unable to address the probable significance of the unavailable information, which could be material to future results.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11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48"/>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2024-11-04T08:35:43Z</dcterms:created>
  <dcterms:modified xsi:type="dcterms:W3CDTF">2024-11-04T08:35:43Z</dcterms:modified>
</cp:coreProperties>
</file>